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07BDD">
      <w:pPr>
        <w:snapToGrid w:val="0"/>
        <w:spacing w:line="580" w:lineRule="exact"/>
        <w:ind w:firstLine="880" w:firstLineChars="200"/>
        <w:jc w:val="center"/>
        <w:textAlignment w:val="baseline"/>
        <w:rPr>
          <w:rFonts w:ascii="方正小标宋简体" w:hAnsi="方正小标宋简体" w:eastAsia="方正小标宋简体" w:cs="方正小标宋简体"/>
          <w:bCs/>
          <w:color w:val="000000"/>
          <w:kern w:val="16"/>
          <w:sz w:val="44"/>
          <w:szCs w:val="44"/>
        </w:rPr>
      </w:pPr>
    </w:p>
    <w:p w14:paraId="620C1D4F">
      <w:pPr>
        <w:pStyle w:val="8"/>
      </w:pPr>
    </w:p>
    <w:p w14:paraId="3EBACA58">
      <w:pPr>
        <w:snapToGrid w:val="0"/>
        <w:jc w:val="center"/>
        <w:rPr>
          <w:rFonts w:ascii="方正小标宋简体" w:hAnsi="方正小标宋简体" w:eastAsia="方正小标宋简体" w:cs="方正小标宋简体"/>
          <w:sz w:val="44"/>
          <w:szCs w:val="44"/>
        </w:rPr>
      </w:pPr>
    </w:p>
    <w:p w14:paraId="381C7118">
      <w:pPr>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北京市人民政府天安门地区管理委员会</w:t>
      </w:r>
    </w:p>
    <w:p w14:paraId="4078655C">
      <w:pPr>
        <w:snapToGrid w:val="0"/>
        <w:spacing w:line="360" w:lineRule="auto"/>
        <w:jc w:val="center"/>
        <w:textAlignment w:val="baseline"/>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4</w:t>
      </w:r>
      <w:r>
        <w:rPr>
          <w:rFonts w:hint="eastAsia" w:ascii="方正小标宋简体" w:hAnsi="方正小标宋简体" w:eastAsia="方正小标宋简体" w:cs="方正小标宋简体"/>
          <w:bCs/>
          <w:kern w:val="0"/>
          <w:sz w:val="44"/>
          <w:szCs w:val="44"/>
        </w:rPr>
        <w:t>年度部门整体支出绩效评价报告</w:t>
      </w:r>
    </w:p>
    <w:p w14:paraId="2212EA5E">
      <w:pPr>
        <w:snapToGrid w:val="0"/>
        <w:spacing w:line="360" w:lineRule="auto"/>
        <w:jc w:val="center"/>
        <w:textAlignment w:val="baseline"/>
        <w:rPr>
          <w:rFonts w:hint="eastAsia" w:ascii="方正仿宋_GBK" w:hAnsi="方正仿宋_GBK" w:eastAsia="方正仿宋_GBK" w:cs="方正仿宋_GBK"/>
          <w:bCs/>
          <w:kern w:val="0"/>
          <w:sz w:val="44"/>
          <w:szCs w:val="44"/>
          <w:lang w:eastAsia="zh-CN"/>
        </w:rPr>
      </w:pPr>
    </w:p>
    <w:p w14:paraId="36615EC8">
      <w:pPr>
        <w:spacing w:after="240" w:line="540" w:lineRule="exact"/>
        <w:jc w:val="center"/>
        <w:textAlignment w:val="baseline"/>
        <w:rPr>
          <w:b/>
          <w:bCs/>
          <w:spacing w:val="50"/>
          <w:sz w:val="32"/>
          <w:szCs w:val="32"/>
        </w:rPr>
      </w:pPr>
    </w:p>
    <w:p w14:paraId="17938B86">
      <w:pPr>
        <w:snapToGrid w:val="0"/>
        <w:spacing w:after="312" w:line="300" w:lineRule="auto"/>
        <w:ind w:firstLine="723" w:firstLineChars="200"/>
        <w:textAlignment w:val="baseline"/>
        <w:rPr>
          <w:rFonts w:eastAsia="仿宋_GB2312"/>
          <w:b/>
          <w:bCs/>
          <w:sz w:val="36"/>
          <w:szCs w:val="20"/>
        </w:rPr>
      </w:pPr>
      <w:r>
        <w:rPr>
          <w:rFonts w:eastAsia="仿宋_GB2312"/>
          <w:b/>
          <w:bCs/>
          <w:sz w:val="36"/>
          <w:szCs w:val="20"/>
        </w:rPr>
        <w:t xml:space="preserve">  </w:t>
      </w:r>
    </w:p>
    <w:p w14:paraId="41C3EFFB">
      <w:pPr>
        <w:widowControl/>
        <w:ind w:firstLine="512" w:firstLineChars="160"/>
        <w:jc w:val="left"/>
        <w:rPr>
          <w:rFonts w:eastAsia="仿宋_GB2312"/>
          <w:bCs/>
          <w:kern w:val="0"/>
          <w:sz w:val="32"/>
          <w:szCs w:val="32"/>
        </w:rPr>
      </w:pPr>
      <w:r>
        <w:rPr>
          <w:rFonts w:eastAsia="仿宋_GB2312"/>
          <w:bCs/>
          <w:kern w:val="0"/>
          <w:sz w:val="32"/>
          <w:szCs w:val="32"/>
        </w:rPr>
        <w:t xml:space="preserve"> </w:t>
      </w:r>
    </w:p>
    <w:p w14:paraId="02B2090D">
      <w:pPr>
        <w:pStyle w:val="15"/>
        <w:rPr>
          <w:rFonts w:eastAsia="仿宋_GB2312"/>
          <w:bCs/>
          <w:kern w:val="0"/>
          <w:sz w:val="32"/>
          <w:szCs w:val="32"/>
        </w:rPr>
      </w:pPr>
    </w:p>
    <w:p w14:paraId="65C2C718"/>
    <w:p w14:paraId="750B3C67">
      <w:pPr>
        <w:spacing w:line="480" w:lineRule="auto"/>
        <w:jc w:val="center"/>
        <w:textAlignment w:val="baseline"/>
        <w:rPr>
          <w:rFonts w:eastAsia="黑体"/>
          <w:b/>
          <w:sz w:val="32"/>
          <w:szCs w:val="20"/>
        </w:rPr>
      </w:pPr>
    </w:p>
    <w:p w14:paraId="536BFF8B"/>
    <w:p w14:paraId="2D6FE161">
      <w:pPr>
        <w:pStyle w:val="6"/>
      </w:pPr>
    </w:p>
    <w:p w14:paraId="5973A300">
      <w:pPr>
        <w:pStyle w:val="6"/>
      </w:pPr>
    </w:p>
    <w:p w14:paraId="1D1FF839">
      <w:pPr>
        <w:spacing w:line="480" w:lineRule="auto"/>
        <w:jc w:val="center"/>
        <w:textAlignment w:val="baseline"/>
        <w:rPr>
          <w:rFonts w:eastAsia="黑体"/>
          <w:b/>
          <w:sz w:val="32"/>
          <w:szCs w:val="20"/>
        </w:rPr>
      </w:pPr>
    </w:p>
    <w:p w14:paraId="3EB2EEFB">
      <w:pPr>
        <w:jc w:val="center"/>
        <w:textAlignment w:val="baseline"/>
        <w:rPr>
          <w:rFonts w:ascii="宋体" w:hAnsi="宋体" w:eastAsia="宋体" w:cs="宋体"/>
          <w:b/>
          <w:kern w:val="44"/>
          <w:sz w:val="32"/>
          <w:szCs w:val="32"/>
        </w:rPr>
      </w:pPr>
    </w:p>
    <w:p w14:paraId="6B767C1D">
      <w:pPr>
        <w:jc w:val="center"/>
        <w:textAlignment w:val="baseline"/>
        <w:rPr>
          <w:rFonts w:ascii="宋体" w:hAnsi="宋体" w:eastAsia="宋体" w:cs="宋体"/>
          <w:b/>
          <w:kern w:val="44"/>
          <w:sz w:val="32"/>
          <w:szCs w:val="32"/>
        </w:rPr>
      </w:pPr>
    </w:p>
    <w:p w14:paraId="7D3EEFAA">
      <w:pPr>
        <w:rPr>
          <w:rFonts w:ascii="宋体" w:hAnsi="宋体" w:eastAsia="宋体" w:cs="宋体"/>
          <w:b/>
          <w:kern w:val="44"/>
          <w:sz w:val="32"/>
          <w:szCs w:val="32"/>
        </w:rPr>
        <w:sectPr>
          <w:pgSz w:w="11906" w:h="16838"/>
          <w:pgMar w:top="1701" w:right="1701" w:bottom="1701" w:left="1701" w:header="851" w:footer="992" w:gutter="0"/>
          <w:pgNumType w:start="1"/>
          <w:cols w:space="425" w:num="1"/>
          <w:docGrid w:type="lines" w:linePitch="312" w:charSpace="0"/>
        </w:sectPr>
      </w:pPr>
    </w:p>
    <w:sdt>
      <w:sdtPr>
        <w:rPr>
          <w:rFonts w:ascii="宋体" w:hAnsi="宋体" w:eastAsia="宋体"/>
          <w:b/>
          <w:bCs/>
          <w:sz w:val="44"/>
          <w:szCs w:val="44"/>
        </w:rPr>
        <w:id w:val="147451666"/>
        <w:docPartObj>
          <w:docPartGallery w:val="Table of Contents"/>
          <w:docPartUnique/>
        </w:docPartObj>
      </w:sdtPr>
      <w:sdtEndPr>
        <w:rPr>
          <w:rFonts w:asciiTheme="minorHAnsi" w:hAnsiTheme="minorHAnsi" w:eastAsiaTheme="minorEastAsia"/>
          <w:b/>
          <w:bCs/>
          <w:sz w:val="28"/>
          <w:szCs w:val="28"/>
        </w:rPr>
      </w:sdtEndPr>
      <w:sdtContent>
        <w:p w14:paraId="36FB0B39">
          <w:pPr>
            <w:jc w:val="center"/>
            <w:textAlignment w:val="baseline"/>
            <w:rPr>
              <w:b/>
              <w:bCs/>
              <w:sz w:val="44"/>
              <w:szCs w:val="44"/>
            </w:rPr>
          </w:pPr>
          <w:r>
            <w:rPr>
              <w:rFonts w:ascii="宋体" w:hAnsi="宋体" w:eastAsia="宋体"/>
              <w:b/>
              <w:bCs/>
              <w:sz w:val="44"/>
              <w:szCs w:val="44"/>
            </w:rPr>
            <w:t>目</w:t>
          </w:r>
          <w:r>
            <w:rPr>
              <w:rFonts w:hint="eastAsia" w:ascii="宋体" w:hAnsi="宋体" w:eastAsia="宋体"/>
              <w:b/>
              <w:bCs/>
              <w:sz w:val="44"/>
              <w:szCs w:val="44"/>
            </w:rPr>
            <w:t xml:space="preserve">   </w:t>
          </w:r>
          <w:r>
            <w:rPr>
              <w:rFonts w:ascii="宋体" w:hAnsi="宋体" w:eastAsia="宋体"/>
              <w:b/>
              <w:bCs/>
              <w:sz w:val="44"/>
              <w:szCs w:val="44"/>
            </w:rPr>
            <w:t>录</w:t>
          </w:r>
        </w:p>
        <w:p w14:paraId="6EBDA4F9">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_Toc11220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一、部门概况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16CC2212">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_Toc25082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rPr>
            <w:t>（一）机构设置及职责工作任务情况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_Toc25082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60E79331">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_Toc25275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（二）部门整体绩效目标设立情况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_Toc25275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6A61B5EC">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_Toc30631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highlight w:val="none"/>
            </w:rPr>
            <w:t>二、当年预算执行情况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_Toc30631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72A35E5F">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_Toc26704 </w:instrText>
          </w:r>
          <w:r>
            <w:rPr>
              <w:rFonts w:hint="default" w:ascii="Times New Roman" w:hAnsi="Times New Roman" w:cs="Times New Roman"/>
              <w:sz w:val="28"/>
              <w:szCs w:val="28"/>
            </w:rPr>
            <w:fldChar w:fldCharType="separate"/>
          </w:r>
          <w:r>
            <w:rPr>
              <w:rFonts w:hint="default" w:ascii="Times New Roman" w:hAnsi="Times New Roman" w:eastAsia="黑体" w:cs="Times New Roman"/>
              <w:kern w:val="0"/>
              <w:sz w:val="28"/>
              <w:szCs w:val="28"/>
              <w:highlight w:val="none"/>
            </w:rPr>
            <w:t>三、整体绩效目标实现情况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_Toc26704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346F8AB5">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_Toc32123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lang w:val="en-US" w:eastAsia="zh-CN"/>
            </w:rPr>
            <w:t>（一）产出完成情况分析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_Toc32123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04BA942F">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_Toc7669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lang w:val="en-US" w:eastAsia="zh-CN"/>
            </w:rPr>
            <w:t>（二）效果实现情况分析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_Toc7669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172ACD03">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_Toc7236 </w:instrText>
          </w:r>
          <w:r>
            <w:rPr>
              <w:rFonts w:hint="default" w:ascii="Times New Roman" w:hAnsi="Times New Roman" w:cs="Times New Roman"/>
              <w:sz w:val="28"/>
              <w:szCs w:val="28"/>
            </w:rPr>
            <w:fldChar w:fldCharType="separate"/>
          </w:r>
          <w:r>
            <w:rPr>
              <w:rFonts w:hint="default" w:ascii="Times New Roman" w:hAnsi="Times New Roman" w:eastAsia="黑体" w:cs="Times New Roman"/>
              <w:kern w:val="0"/>
              <w:sz w:val="28"/>
              <w:szCs w:val="28"/>
              <w:highlight w:val="none"/>
            </w:rPr>
            <w:t>四、预算管理情况分析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612B4407">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_Toc17172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（一）财务管理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1E4C9798">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_Toc26268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highlight w:val="none"/>
            </w:rPr>
            <w:t>（二）资产管理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_Toc26268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73A9AA69">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_Toc31884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（三）绩效管理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_Toc31884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51B02923">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_Toc8144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（四）结转结余率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_Toc8144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0138B819">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_Toc4796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（五）部门预决算差异率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_Toc4796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28C2B143">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_Toc16380 </w:instrText>
          </w:r>
          <w:r>
            <w:rPr>
              <w:rFonts w:hint="default" w:ascii="Times New Roman" w:hAnsi="Times New Roman" w:cs="Times New Roman"/>
              <w:sz w:val="28"/>
              <w:szCs w:val="28"/>
            </w:rPr>
            <w:fldChar w:fldCharType="separate"/>
          </w:r>
          <w:r>
            <w:rPr>
              <w:rFonts w:hint="default" w:ascii="Times New Roman" w:hAnsi="Times New Roman" w:eastAsia="黑体" w:cs="Times New Roman"/>
              <w:kern w:val="0"/>
              <w:sz w:val="28"/>
              <w:szCs w:val="28"/>
              <w:highlight w:val="none"/>
            </w:rPr>
            <w:t>五、总体评价结论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_Toc16380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782A88A4">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_Toc4512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（一）评价得分情况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_Toc4512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7094AC2B">
          <w:pPr>
            <w:pStyle w:val="20"/>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_Toc3641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sz w:val="28"/>
              <w:szCs w:val="28"/>
              <w:highlight w:val="none"/>
            </w:rPr>
            <w:t>（二）存在的问题及原因分析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45899339">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_Toc2769 </w:instrText>
          </w:r>
          <w:r>
            <w:rPr>
              <w:rFonts w:hint="default" w:ascii="Times New Roman" w:hAnsi="Times New Roman" w:cs="Times New Roman"/>
              <w:sz w:val="28"/>
              <w:szCs w:val="28"/>
            </w:rPr>
            <w:fldChar w:fldCharType="separate"/>
          </w:r>
          <w:r>
            <w:rPr>
              <w:rFonts w:hint="default" w:ascii="Times New Roman" w:hAnsi="Times New Roman" w:eastAsia="黑体" w:cs="Times New Roman"/>
              <w:kern w:val="0"/>
              <w:sz w:val="28"/>
              <w:szCs w:val="28"/>
              <w:highlight w:val="none"/>
            </w:rPr>
            <w:t>六、措施建议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_Toc2769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67A90011">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_Toc10516 </w:instrText>
          </w:r>
          <w:r>
            <w:rPr>
              <w:rFonts w:hint="default" w:ascii="Times New Roman" w:hAnsi="Times New Roman" w:cs="Times New Roman"/>
              <w:sz w:val="28"/>
              <w:szCs w:val="28"/>
            </w:rPr>
            <w:fldChar w:fldCharType="separate"/>
          </w:r>
          <w:r>
            <w:rPr>
              <w:rFonts w:hint="default" w:ascii="Times New Roman" w:hAnsi="Times New Roman" w:eastAsia="黑体" w:cs="Times New Roman"/>
              <w:kern w:val="0"/>
              <w:sz w:val="28"/>
              <w:szCs w:val="28"/>
            </w:rPr>
            <w:t>七、附件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14:paraId="499131C7">
          <w:pPr>
            <w:pStyle w:val="19"/>
            <w:spacing w:line="360" w:lineRule="auto"/>
            <w:ind w:left="3360"/>
            <w:textAlignment w:val="baseline"/>
            <w:rPr>
              <w:sz w:val="28"/>
              <w:szCs w:val="28"/>
            </w:rPr>
          </w:pPr>
          <w:r>
            <w:rPr>
              <w:rFonts w:hint="default" w:ascii="Times New Roman" w:hAnsi="Times New Roman" w:cs="Times New Roman"/>
              <w:sz w:val="28"/>
              <w:szCs w:val="28"/>
            </w:rPr>
            <w:fldChar w:fldCharType="end"/>
          </w:r>
        </w:p>
      </w:sdtContent>
    </w:sdt>
    <w:p w14:paraId="10EE9C9B">
      <w:pPr>
        <w:spacing w:line="560" w:lineRule="exact"/>
        <w:jc w:val="center"/>
        <w:textAlignment w:val="baseline"/>
        <w:rPr>
          <w:rFonts w:ascii="方正小标宋简体" w:eastAsia="方正小标宋简体"/>
          <w:sz w:val="28"/>
          <w:szCs w:val="28"/>
        </w:rPr>
        <w:sectPr>
          <w:pgSz w:w="11906" w:h="16838"/>
          <w:pgMar w:top="1701" w:right="1701" w:bottom="1701" w:left="1701" w:header="851" w:footer="992" w:gutter="0"/>
          <w:pgNumType w:start="1"/>
          <w:cols w:space="425" w:num="1"/>
          <w:docGrid w:type="lines" w:linePitch="312" w:charSpace="0"/>
        </w:sectPr>
      </w:pPr>
    </w:p>
    <w:p w14:paraId="569BBE53">
      <w:pPr>
        <w:keepNext w:val="0"/>
        <w:keepLines w:val="0"/>
        <w:pageBreakBefore w:val="0"/>
        <w:kinsoku/>
        <w:wordWrap/>
        <w:overflowPunct/>
        <w:topLinePunct w:val="0"/>
        <w:autoSpaceDE/>
        <w:autoSpaceDN/>
        <w:bidi w:val="0"/>
        <w:spacing w:line="560" w:lineRule="exact"/>
        <w:jc w:val="center"/>
        <w:rPr>
          <w:rFonts w:ascii="宋体" w:hAnsi="宋体" w:eastAsia="宋体" w:cs="宋体"/>
          <w:b/>
          <w:bCs/>
          <w:sz w:val="44"/>
          <w:szCs w:val="44"/>
        </w:rPr>
      </w:pPr>
      <w:bookmarkStart w:id="0" w:name="_Toc12030"/>
      <w:r>
        <w:rPr>
          <w:rFonts w:hint="eastAsia" w:ascii="宋体" w:hAnsi="宋体" w:eastAsia="宋体" w:cs="宋体"/>
          <w:b/>
          <w:bCs/>
          <w:sz w:val="44"/>
          <w:szCs w:val="44"/>
        </w:rPr>
        <w:t>北京市人民政府天安门地区管理委员会</w:t>
      </w:r>
    </w:p>
    <w:p w14:paraId="33AC4AE0">
      <w:pPr>
        <w:keepNext w:val="0"/>
        <w:keepLines w:val="0"/>
        <w:pageBreakBefore w:val="0"/>
        <w:kinsoku/>
        <w:wordWrap/>
        <w:overflowPunct/>
        <w:topLinePunct w:val="0"/>
        <w:autoSpaceDE/>
        <w:autoSpaceDN/>
        <w:bidi w:val="0"/>
        <w:spacing w:line="560" w:lineRule="exact"/>
        <w:jc w:val="center"/>
        <w:rPr>
          <w:rFonts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年度部门整体绩效评价报告</w:t>
      </w:r>
      <w:bookmarkEnd w:id="0"/>
    </w:p>
    <w:p w14:paraId="715BF6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p>
    <w:p w14:paraId="578F3687">
      <w:pPr>
        <w:pStyle w:val="31"/>
        <w:keepNext w:val="0"/>
        <w:keepLines w:val="0"/>
        <w:pageBreakBefore w:val="0"/>
        <w:kinsoku/>
        <w:wordWrap/>
        <w:overflowPunct/>
        <w:topLinePunct w:val="0"/>
        <w:autoSpaceDE/>
        <w:autoSpaceDN/>
        <w:bidi w:val="0"/>
        <w:adjustRightInd w:val="0"/>
        <w:snapToGrid w:val="0"/>
        <w:spacing w:line="560" w:lineRule="exact"/>
        <w:ind w:firstLine="640"/>
        <w:textAlignment w:val="baseline"/>
        <w:outlineLvl w:val="0"/>
        <w:rPr>
          <w:rFonts w:ascii="黑体" w:hAnsi="黑体" w:eastAsia="黑体"/>
          <w:sz w:val="32"/>
          <w:szCs w:val="32"/>
        </w:rPr>
      </w:pPr>
      <w:bookmarkStart w:id="1" w:name="_Toc11220"/>
      <w:bookmarkStart w:id="2" w:name="_Toc17831"/>
      <w:bookmarkStart w:id="3" w:name="_Toc8766"/>
      <w:bookmarkStart w:id="4" w:name="_Toc15145"/>
      <w:r>
        <w:rPr>
          <w:rFonts w:hint="eastAsia" w:ascii="黑体" w:hAnsi="黑体" w:eastAsia="黑体"/>
          <w:sz w:val="32"/>
          <w:szCs w:val="32"/>
        </w:rPr>
        <w:t>一、部门概况</w:t>
      </w:r>
      <w:bookmarkEnd w:id="1"/>
      <w:bookmarkEnd w:id="2"/>
      <w:bookmarkEnd w:id="3"/>
      <w:bookmarkEnd w:id="4"/>
    </w:p>
    <w:p w14:paraId="043C857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rPr>
      </w:pPr>
      <w:bookmarkStart w:id="5" w:name="_Toc7959"/>
      <w:bookmarkStart w:id="6" w:name="_Toc23826"/>
      <w:bookmarkStart w:id="7" w:name="_Toc31134"/>
      <w:bookmarkStart w:id="8" w:name="_Toc25082"/>
      <w:r>
        <w:rPr>
          <w:rFonts w:hint="eastAsia" w:ascii="楷体_GB2312" w:eastAsia="楷体_GB2312"/>
          <w:bCs/>
          <w:sz w:val="32"/>
          <w:szCs w:val="32"/>
        </w:rPr>
        <w:t>（一）机构设置及职责工作任务情况</w:t>
      </w:r>
      <w:bookmarkEnd w:id="5"/>
      <w:bookmarkEnd w:id="6"/>
      <w:bookmarkEnd w:id="7"/>
      <w:bookmarkEnd w:id="8"/>
    </w:p>
    <w:p w14:paraId="55C321B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bookmarkStart w:id="9" w:name="_Toc17184"/>
      <w:bookmarkStart w:id="10" w:name="_Toc9052"/>
      <w:bookmarkStart w:id="11" w:name="_Toc14178"/>
      <w:r>
        <w:rPr>
          <w:rFonts w:hint="eastAsia" w:ascii="仿宋_GB2312" w:hAnsi="仿宋" w:eastAsia="仿宋_GB2312" w:cs="Times New Roman"/>
          <w:sz w:val="32"/>
          <w:szCs w:val="32"/>
        </w:rPr>
        <w:t>天安门地区管委会是负责组织协调天安门地区管理工作的市政府派出机构，主要职责包括：</w:t>
      </w:r>
    </w:p>
    <w:p w14:paraId="5D38751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1.贯彻执行国家及本市有关法律、法规和政策。</w:t>
      </w:r>
    </w:p>
    <w:p w14:paraId="34D7781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2.组织协调天安门地区升挂国旗活动，会同有关部门做好在天安门地区举行的外事</w:t>
      </w:r>
      <w:bookmarkStart w:id="62" w:name="_GoBack"/>
      <w:bookmarkEnd w:id="62"/>
      <w:r>
        <w:rPr>
          <w:rFonts w:hint="eastAsia" w:ascii="仿宋_GB2312" w:hAnsi="仿宋" w:eastAsia="仿宋_GB2312" w:cs="Times New Roman"/>
          <w:sz w:val="32"/>
          <w:szCs w:val="32"/>
        </w:rPr>
        <w:t>迎宾、节日庆典等活动。</w:t>
      </w:r>
    </w:p>
    <w:p w14:paraId="3525CC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3.负责天安门地区的市容和环境卫生；组织协调天安门地区社会秩序、市政公用设施；城市绿化等工作；会同有关部门做好天安门地区文物保护工作。</w:t>
      </w:r>
    </w:p>
    <w:p w14:paraId="622A7D5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4.负责天安门地区应急管理工作。</w:t>
      </w:r>
    </w:p>
    <w:p w14:paraId="54F575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5.负责对有关部门在天安门地区的日常管理工作进行监督检查。</w:t>
      </w:r>
    </w:p>
    <w:p w14:paraId="33228D2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6.负责天安门地区服务设施的统一规划工作。</w:t>
      </w:r>
    </w:p>
    <w:p w14:paraId="2246446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7.负责天安门城楼的开放与管理工作。</w:t>
      </w:r>
    </w:p>
    <w:p w14:paraId="315D692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.负责组织、协调、监督天安门地区的安全生产工作，并承担相应的管理责任；负责本机关及所属单位的安全工作，并承担相应的领导责任。</w:t>
      </w:r>
    </w:p>
    <w:p w14:paraId="52F6F85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rPr>
        <w:t>.负责天安门广场预约参观工作</w:t>
      </w:r>
      <w:r>
        <w:rPr>
          <w:rFonts w:hint="eastAsia" w:ascii="仿宋_GB2312" w:hAnsi="仿宋" w:eastAsia="仿宋_GB2312" w:cs="Times New Roman"/>
          <w:sz w:val="32"/>
          <w:szCs w:val="32"/>
          <w:lang w:eastAsia="zh-CN"/>
        </w:rPr>
        <w:t>。</w:t>
      </w:r>
    </w:p>
    <w:p w14:paraId="693B51D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rPr>
        <w:t>.承办市委、市政府交办的其他事项。</w:t>
      </w:r>
    </w:p>
    <w:p w14:paraId="0DB3019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12" w:name="_Toc25275"/>
      <w:r>
        <w:rPr>
          <w:rFonts w:hint="eastAsia" w:ascii="楷体_GB2312" w:eastAsia="楷体_GB2312"/>
          <w:bCs/>
          <w:sz w:val="32"/>
          <w:szCs w:val="32"/>
          <w:highlight w:val="none"/>
        </w:rPr>
        <w:t>（二）部门整体绩效目标设立情况</w:t>
      </w:r>
      <w:bookmarkEnd w:id="9"/>
      <w:bookmarkEnd w:id="10"/>
      <w:bookmarkEnd w:id="11"/>
      <w:bookmarkEnd w:id="12"/>
    </w:p>
    <w:p w14:paraId="7E96CAA2">
      <w:pPr>
        <w:adjustRightInd w:val="0"/>
        <w:snapToGrid w:val="0"/>
        <w:spacing w:line="560" w:lineRule="exact"/>
        <w:ind w:firstLine="640" w:firstLineChars="200"/>
        <w:textAlignment w:val="baseline"/>
        <w:outlineLvl w:val="0"/>
        <w:rPr>
          <w:rFonts w:hint="eastAsia" w:ascii="仿宋_GB2312" w:hAnsi="宋体" w:eastAsia="仿宋_GB2312" w:cs="宋体"/>
          <w:color w:val="000000"/>
          <w:kern w:val="0"/>
          <w:sz w:val="32"/>
          <w:szCs w:val="32"/>
          <w:highlight w:val="none"/>
        </w:rPr>
      </w:pPr>
      <w:bookmarkStart w:id="13" w:name="_Toc2725"/>
      <w:r>
        <w:rPr>
          <w:rFonts w:hint="eastAsia" w:ascii="仿宋_GB2312" w:hAnsi="宋体" w:eastAsia="仿宋_GB2312" w:cs="宋体"/>
          <w:color w:val="000000"/>
          <w:kern w:val="0"/>
          <w:sz w:val="32"/>
          <w:szCs w:val="32"/>
          <w:highlight w:val="none"/>
          <w:lang w:eastAsia="zh-CN"/>
        </w:rPr>
        <w:t>202</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lang w:eastAsia="zh-CN"/>
        </w:rPr>
        <w:t>年度，天安门地区管委会部门整体支出绩效目标设置为：坚持以习近平新时代中国特色社会主义思想为指导，深刻领悟“两个确立”的决定性意义，进一步增强“四个意识”、坚定“四个自信”、做到“两个维护”，把学习宣传贯彻党的二十大精神与深入学习贯彻习近平总书记对北京一系列重要讲话精神结合起来，坚决贯彻落实市委、市政府工作要求，</w:t>
      </w:r>
      <w:r>
        <w:rPr>
          <w:rFonts w:hint="eastAsia" w:ascii="仿宋_GB2312" w:hAnsi="宋体" w:eastAsia="仿宋_GB2312" w:cs="宋体"/>
          <w:color w:val="000000"/>
          <w:kern w:val="0"/>
          <w:sz w:val="32"/>
          <w:szCs w:val="32"/>
          <w:highlight w:val="none"/>
        </w:rPr>
        <w:t>不断加强“四个中心”建设、提高“四个服务”水平，推动地区高质量发展迈上新台阶。</w:t>
      </w:r>
    </w:p>
    <w:bookmarkEnd w:id="13"/>
    <w:p w14:paraId="53E77117">
      <w:pPr>
        <w:pageBreakBefore w:val="0"/>
        <w:widowControl/>
        <w:kinsoku/>
        <w:wordWrap/>
        <w:overflowPunct/>
        <w:topLinePunct w:val="0"/>
        <w:autoSpaceDE/>
        <w:autoSpaceDN/>
        <w:bidi w:val="0"/>
        <w:adjustRightInd w:val="0"/>
        <w:snapToGrid w:val="0"/>
        <w:spacing w:line="560" w:lineRule="exact"/>
        <w:ind w:leftChars="0" w:firstLine="640" w:firstLineChars="200"/>
        <w:textAlignment w:val="baseline"/>
        <w:outlineLvl w:val="0"/>
        <w:rPr>
          <w:rFonts w:hint="eastAsia" w:ascii="仿宋_GB2312" w:hAnsi="宋体" w:eastAsia="仿宋_GB2312" w:cs="宋体"/>
          <w:bCs w:val="0"/>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天安门地区管委会</w:t>
      </w:r>
      <w:r>
        <w:rPr>
          <w:rFonts w:hint="eastAsia" w:ascii="仿宋_GB2312" w:hAnsi="宋体" w:eastAsia="仿宋_GB2312" w:cs="宋体"/>
          <w:color w:val="000000"/>
          <w:kern w:val="0"/>
          <w:sz w:val="32"/>
          <w:szCs w:val="32"/>
          <w:highlight w:val="none"/>
        </w:rPr>
        <w:t>根据总体目标并结合工作重点，</w:t>
      </w:r>
      <w:r>
        <w:rPr>
          <w:rFonts w:hint="eastAsia" w:ascii="仿宋_GB2312" w:hAnsi="宋体" w:eastAsia="仿宋_GB2312" w:cs="宋体"/>
          <w:color w:val="000000"/>
          <w:kern w:val="0"/>
          <w:sz w:val="32"/>
          <w:szCs w:val="32"/>
          <w:highlight w:val="none"/>
          <w:lang w:val="en-US" w:eastAsia="zh-CN"/>
        </w:rPr>
        <w:t>围绕</w:t>
      </w:r>
      <w:r>
        <w:rPr>
          <w:rFonts w:hint="eastAsia" w:ascii="仿宋_GB2312" w:hAnsi="宋体" w:eastAsia="仿宋_GB2312" w:cs="宋体"/>
          <w:color w:val="000000"/>
          <w:kern w:val="0"/>
          <w:sz w:val="32"/>
          <w:szCs w:val="32"/>
          <w:highlight w:val="none"/>
          <w:lang w:eastAsia="zh-CN"/>
        </w:rPr>
        <w:t>政务服务综合保障</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秩序维护</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文物保护、市容环境卫生、综合治理、安全生产、应急管理、天安门城楼开放与管理、旅游管理和自身建设</w:t>
      </w:r>
      <w:r>
        <w:rPr>
          <w:rFonts w:hint="eastAsia" w:ascii="仿宋_GB2312" w:hAnsi="宋体" w:eastAsia="仿宋_GB2312" w:cs="宋体"/>
          <w:color w:val="000000"/>
          <w:kern w:val="0"/>
          <w:sz w:val="32"/>
          <w:szCs w:val="32"/>
          <w:highlight w:val="none"/>
        </w:rPr>
        <w:t>等</w:t>
      </w:r>
      <w:r>
        <w:rPr>
          <w:rFonts w:hint="eastAsia" w:ascii="仿宋_GB2312" w:hAnsi="宋体" w:eastAsia="仿宋_GB2312" w:cs="宋体"/>
          <w:color w:val="000000"/>
          <w:kern w:val="0"/>
          <w:sz w:val="32"/>
          <w:szCs w:val="32"/>
          <w:highlight w:val="none"/>
          <w:lang w:val="en-US" w:eastAsia="zh-CN"/>
        </w:rPr>
        <w:t>10个</w:t>
      </w:r>
      <w:r>
        <w:rPr>
          <w:rFonts w:hint="eastAsia" w:ascii="仿宋_GB2312" w:hAnsi="宋体" w:eastAsia="仿宋_GB2312" w:cs="宋体"/>
          <w:color w:val="000000"/>
          <w:kern w:val="0"/>
          <w:sz w:val="32"/>
          <w:szCs w:val="32"/>
          <w:highlight w:val="none"/>
        </w:rPr>
        <w:t>方面设定了绩效指标，指标设定与职能任务相匹配，符合相关法律法规的要求及部门整体支出的客观实际，</w:t>
      </w:r>
      <w:r>
        <w:rPr>
          <w:rFonts w:hint="eastAsia" w:ascii="仿宋_GB2312" w:hAnsi="宋体" w:eastAsia="仿宋_GB2312" w:cs="宋体"/>
          <w:color w:val="000000"/>
          <w:kern w:val="0"/>
          <w:sz w:val="32"/>
          <w:szCs w:val="32"/>
          <w:highlight w:val="none"/>
          <w:lang w:val="en-US" w:eastAsia="zh-CN"/>
        </w:rPr>
        <w:t>总体</w:t>
      </w:r>
      <w:r>
        <w:rPr>
          <w:rFonts w:hint="eastAsia" w:ascii="仿宋_GB2312" w:hAnsi="宋体" w:eastAsia="仿宋_GB2312" w:cs="宋体"/>
          <w:color w:val="000000"/>
          <w:kern w:val="0"/>
          <w:sz w:val="32"/>
          <w:szCs w:val="32"/>
          <w:highlight w:val="none"/>
        </w:rPr>
        <w:t>目标以各预算项目支出绩效目标为支撑，</w:t>
      </w:r>
      <w:r>
        <w:rPr>
          <w:rFonts w:hint="eastAsia" w:ascii="仿宋_GB2312" w:hAnsi="宋体" w:eastAsia="仿宋_GB2312" w:cs="宋体"/>
          <w:color w:val="000000"/>
          <w:kern w:val="0"/>
          <w:sz w:val="32"/>
          <w:szCs w:val="32"/>
          <w:highlight w:val="none"/>
          <w:lang w:val="en-US" w:eastAsia="zh-CN"/>
        </w:rPr>
        <w:t>设立</w:t>
      </w:r>
      <w:r>
        <w:rPr>
          <w:rFonts w:hint="eastAsia" w:ascii="仿宋_GB2312" w:hAnsi="宋体" w:eastAsia="仿宋_GB2312" w:cs="宋体"/>
          <w:color w:val="000000"/>
          <w:kern w:val="0"/>
          <w:sz w:val="32"/>
          <w:szCs w:val="32"/>
          <w:highlight w:val="none"/>
        </w:rPr>
        <w:t>依据充分，与预算资金投入相匹配，具有较强的可行性、合理性。</w:t>
      </w:r>
    </w:p>
    <w:p w14:paraId="2F1CF7F6">
      <w:pPr>
        <w:pStyle w:val="31"/>
        <w:keepNext w:val="0"/>
        <w:keepLines w:val="0"/>
        <w:pageBreakBefore w:val="0"/>
        <w:kinsoku/>
        <w:wordWrap/>
        <w:overflowPunct/>
        <w:topLinePunct w:val="0"/>
        <w:autoSpaceDE/>
        <w:autoSpaceDN/>
        <w:bidi w:val="0"/>
        <w:adjustRightInd w:val="0"/>
        <w:snapToGrid w:val="0"/>
        <w:spacing w:line="560" w:lineRule="exact"/>
        <w:ind w:firstLine="640"/>
        <w:textAlignment w:val="baseline"/>
        <w:outlineLvl w:val="0"/>
        <w:rPr>
          <w:rFonts w:ascii="黑体" w:hAnsi="黑体" w:eastAsia="黑体"/>
          <w:sz w:val="32"/>
          <w:szCs w:val="32"/>
          <w:highlight w:val="none"/>
        </w:rPr>
      </w:pPr>
      <w:bookmarkStart w:id="14" w:name="_Toc30631"/>
      <w:bookmarkStart w:id="15" w:name="_Toc12770"/>
      <w:bookmarkStart w:id="16" w:name="_Toc3885"/>
      <w:bookmarkStart w:id="17" w:name="_Toc23230"/>
      <w:r>
        <w:rPr>
          <w:rFonts w:hint="eastAsia" w:ascii="黑体" w:hAnsi="黑体" w:eastAsia="黑体"/>
          <w:sz w:val="32"/>
          <w:szCs w:val="32"/>
          <w:highlight w:val="none"/>
        </w:rPr>
        <w:t>二、当年预算执行情况</w:t>
      </w:r>
      <w:bookmarkEnd w:id="14"/>
    </w:p>
    <w:p w14:paraId="0E07CEC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hint="eastAsia"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w:t>
      </w:r>
      <w:r>
        <w:rPr>
          <w:rFonts w:ascii="仿宋_GB2312" w:hAnsi="宋体" w:eastAsia="仿宋_GB2312" w:cs="宋体"/>
          <w:color w:val="000000"/>
          <w:kern w:val="0"/>
          <w:sz w:val="32"/>
          <w:szCs w:val="32"/>
          <w:highlight w:val="none"/>
        </w:rPr>
        <w:t>全年</w:t>
      </w:r>
      <w:r>
        <w:rPr>
          <w:rFonts w:hint="eastAsia" w:ascii="仿宋_GB2312" w:hAnsi="宋体" w:eastAsia="仿宋_GB2312" w:cs="宋体"/>
          <w:color w:val="000000"/>
          <w:kern w:val="0"/>
          <w:sz w:val="32"/>
          <w:szCs w:val="32"/>
          <w:highlight w:val="none"/>
        </w:rPr>
        <w:t>预算</w:t>
      </w:r>
      <w:r>
        <w:rPr>
          <w:rFonts w:hint="eastAsia" w:ascii="仿宋_GB2312" w:hAnsi="宋体" w:eastAsia="仿宋_GB2312" w:cs="宋体"/>
          <w:color w:val="000000"/>
          <w:kern w:val="0"/>
          <w:sz w:val="32"/>
          <w:szCs w:val="32"/>
          <w:highlight w:val="none"/>
          <w:lang w:val="en-US" w:eastAsia="zh-CN"/>
        </w:rPr>
        <w:t>安排</w:t>
      </w:r>
      <w:r>
        <w:rPr>
          <w:rFonts w:hint="eastAsia" w:ascii="仿宋_GB2312" w:hAnsi="仿宋_GB2312" w:eastAsia="仿宋_GB2312" w:cs="仿宋_GB2312"/>
          <w:sz w:val="32"/>
          <w:szCs w:val="32"/>
          <w:highlight w:val="none"/>
          <w:lang w:val="en-US" w:eastAsia="zh-CN"/>
        </w:rPr>
        <w:t>30,114.66</w:t>
      </w:r>
      <w:r>
        <w:rPr>
          <w:rFonts w:hint="eastAsia" w:ascii="仿宋_GB2312" w:hAnsi="仿宋_GB2312" w:eastAsia="仿宋_GB2312" w:cs="仿宋_GB2312"/>
          <w:sz w:val="32"/>
          <w:szCs w:val="32"/>
          <w:highlight w:val="none"/>
          <w:lang w:eastAsia="zh-CN"/>
        </w:rPr>
        <w:t>万</w:t>
      </w:r>
      <w:r>
        <w:rPr>
          <w:rFonts w:hint="eastAsia" w:ascii="仿宋_GB2312" w:hAnsi="宋体" w:eastAsia="仿宋_GB2312" w:cs="宋体"/>
          <w:color w:val="000000"/>
          <w:kern w:val="0"/>
          <w:sz w:val="32"/>
          <w:szCs w:val="32"/>
          <w:highlight w:val="none"/>
        </w:rPr>
        <w:t>元</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其中</w:t>
      </w:r>
      <w:r>
        <w:rPr>
          <w:rFonts w:hint="eastAsia" w:ascii="仿宋_GB2312" w:hAnsi="宋体" w:eastAsia="仿宋_GB2312" w:cs="宋体"/>
          <w:color w:val="000000"/>
          <w:kern w:val="0"/>
          <w:sz w:val="32"/>
          <w:szCs w:val="32"/>
          <w:highlight w:val="none"/>
          <w:lang w:eastAsia="zh-CN"/>
        </w:rPr>
        <w:t>：</w:t>
      </w:r>
      <w:r>
        <w:rPr>
          <w:rFonts w:ascii="仿宋_GB2312" w:hAnsi="宋体" w:eastAsia="仿宋_GB2312" w:cs="宋体"/>
          <w:color w:val="000000"/>
          <w:kern w:val="0"/>
          <w:sz w:val="32"/>
          <w:szCs w:val="32"/>
          <w:highlight w:val="none"/>
        </w:rPr>
        <w:t>基本</w:t>
      </w:r>
      <w:r>
        <w:rPr>
          <w:rFonts w:hint="eastAsia" w:ascii="仿宋_GB2312" w:hAnsi="宋体" w:eastAsia="仿宋_GB2312" w:cs="宋体"/>
          <w:color w:val="000000"/>
          <w:kern w:val="0"/>
          <w:sz w:val="32"/>
          <w:szCs w:val="32"/>
          <w:highlight w:val="none"/>
        </w:rPr>
        <w:t>支出</w:t>
      </w:r>
      <w:r>
        <w:rPr>
          <w:rFonts w:ascii="仿宋_GB2312" w:hAnsi="宋体" w:eastAsia="仿宋_GB2312" w:cs="宋体"/>
          <w:color w:val="000000"/>
          <w:kern w:val="0"/>
          <w:sz w:val="32"/>
          <w:szCs w:val="32"/>
          <w:highlight w:val="none"/>
        </w:rPr>
        <w:t>预算</w:t>
      </w: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90.10</w:t>
      </w:r>
      <w:r>
        <w:rPr>
          <w:rFonts w:hint="eastAsia" w:ascii="仿宋_GB2312" w:hAnsi="仿宋_GB2312" w:eastAsia="仿宋_GB2312" w:cs="仿宋_GB2312"/>
          <w:sz w:val="32"/>
          <w:szCs w:val="32"/>
          <w:highlight w:val="none"/>
          <w:lang w:eastAsia="zh-CN"/>
        </w:rPr>
        <w:t>万</w:t>
      </w:r>
      <w:r>
        <w:rPr>
          <w:rFonts w:ascii="仿宋_GB2312" w:hAnsi="宋体" w:eastAsia="仿宋_GB2312" w:cs="宋体"/>
          <w:color w:val="000000"/>
          <w:kern w:val="0"/>
          <w:sz w:val="32"/>
          <w:szCs w:val="32"/>
          <w:highlight w:val="none"/>
        </w:rPr>
        <w:t>元，</w:t>
      </w:r>
      <w:r>
        <w:rPr>
          <w:rFonts w:hint="eastAsia" w:ascii="仿宋_GB2312" w:hAnsi="宋体" w:eastAsia="仿宋_GB2312" w:cs="宋体"/>
          <w:color w:val="000000"/>
          <w:kern w:val="0"/>
          <w:sz w:val="32"/>
          <w:szCs w:val="32"/>
          <w:highlight w:val="none"/>
        </w:rPr>
        <w:t>项目支出预算18</w:t>
      </w:r>
      <w:r>
        <w:rPr>
          <w:rFonts w:hint="eastAsia" w:ascii="仿宋_GB2312" w:hAnsi="宋体" w:eastAsia="仿宋_GB2312" w:cs="宋体"/>
          <w:color w:val="000000"/>
          <w:kern w:val="0"/>
          <w:sz w:val="32"/>
          <w:szCs w:val="32"/>
          <w:highlight w:val="none"/>
          <w:lang w:val="en-US" w:eastAsia="zh-CN"/>
        </w:rPr>
        <w:t>,924.</w:t>
      </w:r>
      <w:r>
        <w:rPr>
          <w:rFonts w:hint="eastAsia" w:ascii="仿宋_GB2312" w:hAnsi="宋体" w:eastAsia="仿宋_GB2312" w:cs="宋体"/>
          <w:color w:val="000000"/>
          <w:kern w:val="0"/>
          <w:sz w:val="32"/>
          <w:szCs w:val="32"/>
          <w:highlight w:val="none"/>
        </w:rPr>
        <w:t>5</w:t>
      </w:r>
      <w:r>
        <w:rPr>
          <w:rFonts w:hint="eastAsia" w:ascii="仿宋_GB2312" w:hAnsi="宋体" w:eastAsia="仿宋_GB2312" w:cs="宋体"/>
          <w:color w:val="000000"/>
          <w:kern w:val="0"/>
          <w:sz w:val="32"/>
          <w:szCs w:val="32"/>
          <w:highlight w:val="none"/>
          <w:lang w:val="en-US" w:eastAsia="zh-CN"/>
        </w:rPr>
        <w:t>6</w:t>
      </w:r>
      <w:r>
        <w:rPr>
          <w:rFonts w:hint="eastAsia" w:ascii="仿宋_GB2312" w:hAnsi="仿宋_GB2312" w:eastAsia="仿宋_GB2312" w:cs="仿宋_GB2312"/>
          <w:sz w:val="32"/>
          <w:szCs w:val="32"/>
          <w:highlight w:val="none"/>
          <w:lang w:eastAsia="zh-CN"/>
        </w:rPr>
        <w:t>万</w:t>
      </w:r>
      <w:r>
        <w:rPr>
          <w:rFonts w:ascii="仿宋_GB2312" w:hAnsi="宋体" w:eastAsia="仿宋_GB2312" w:cs="宋体"/>
          <w:color w:val="000000"/>
          <w:kern w:val="0"/>
          <w:sz w:val="32"/>
          <w:szCs w:val="32"/>
          <w:highlight w:val="none"/>
        </w:rPr>
        <w:t>元</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资金总体</w:t>
      </w:r>
      <w:r>
        <w:rPr>
          <w:rFonts w:hint="eastAsia" w:ascii="仿宋_GB2312" w:hAnsi="宋体" w:eastAsia="仿宋_GB2312" w:cs="宋体"/>
          <w:color w:val="000000"/>
          <w:kern w:val="0"/>
          <w:sz w:val="32"/>
          <w:szCs w:val="32"/>
          <w:highlight w:val="none"/>
        </w:rPr>
        <w:t>支出25</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952</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lang w:eastAsia="zh-CN"/>
        </w:rPr>
        <w:t>万</w:t>
      </w:r>
      <w:r>
        <w:rPr>
          <w:rFonts w:ascii="仿宋_GB2312" w:hAnsi="宋体" w:eastAsia="仿宋_GB2312" w:cs="宋体"/>
          <w:color w:val="000000"/>
          <w:kern w:val="0"/>
          <w:sz w:val="32"/>
          <w:szCs w:val="32"/>
          <w:highlight w:val="none"/>
        </w:rPr>
        <w:t>元</w:t>
      </w:r>
      <w:r>
        <w:rPr>
          <w:rFonts w:hint="eastAsia" w:ascii="仿宋_GB2312" w:hAnsi="宋体" w:eastAsia="仿宋_GB2312" w:cs="宋体"/>
          <w:color w:val="000000"/>
          <w:kern w:val="0"/>
          <w:sz w:val="32"/>
          <w:szCs w:val="32"/>
          <w:highlight w:val="none"/>
          <w:lang w:eastAsia="zh-CN"/>
        </w:rPr>
        <w:t>，</w:t>
      </w:r>
      <w:r>
        <w:rPr>
          <w:rFonts w:ascii="仿宋_GB2312" w:hAnsi="宋体" w:eastAsia="仿宋_GB2312" w:cs="宋体"/>
          <w:color w:val="000000"/>
          <w:kern w:val="0"/>
          <w:sz w:val="32"/>
          <w:szCs w:val="32"/>
          <w:highlight w:val="none"/>
        </w:rPr>
        <w:t>其中</w:t>
      </w:r>
      <w:r>
        <w:rPr>
          <w:rFonts w:hint="eastAsia" w:ascii="仿宋_GB2312" w:hAnsi="宋体" w:eastAsia="仿宋_GB2312" w:cs="宋体"/>
          <w:color w:val="000000"/>
          <w:kern w:val="0"/>
          <w:sz w:val="32"/>
          <w:szCs w:val="32"/>
          <w:highlight w:val="none"/>
          <w:lang w:eastAsia="zh-CN"/>
        </w:rPr>
        <w:t>：</w:t>
      </w:r>
      <w:r>
        <w:rPr>
          <w:rFonts w:ascii="仿宋_GB2312" w:hAnsi="宋体" w:eastAsia="仿宋_GB2312" w:cs="宋体"/>
          <w:color w:val="000000"/>
          <w:kern w:val="0"/>
          <w:sz w:val="32"/>
          <w:szCs w:val="32"/>
          <w:highlight w:val="none"/>
        </w:rPr>
        <w:t>基本支出</w:t>
      </w:r>
      <w:r>
        <w:rPr>
          <w:rFonts w:hint="eastAsia" w:ascii="仿宋_GB2312" w:hAnsi="宋体" w:eastAsia="仿宋_GB2312" w:cs="宋体"/>
          <w:color w:val="000000"/>
          <w:kern w:val="0"/>
          <w:sz w:val="32"/>
          <w:szCs w:val="32"/>
          <w:highlight w:val="none"/>
        </w:rPr>
        <w:t>11</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084</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lang w:val="en-US" w:eastAsia="zh-CN"/>
        </w:rPr>
        <w:t>8</w:t>
      </w:r>
      <w:r>
        <w:rPr>
          <w:rFonts w:hint="eastAsia" w:ascii="仿宋_GB2312" w:hAnsi="仿宋_GB2312" w:eastAsia="仿宋_GB2312" w:cs="仿宋_GB2312"/>
          <w:sz w:val="32"/>
          <w:szCs w:val="32"/>
          <w:highlight w:val="none"/>
          <w:lang w:eastAsia="zh-CN"/>
        </w:rPr>
        <w:t>万</w:t>
      </w:r>
      <w:r>
        <w:rPr>
          <w:rFonts w:ascii="仿宋_GB2312" w:hAnsi="宋体" w:eastAsia="仿宋_GB2312" w:cs="宋体"/>
          <w:color w:val="000000"/>
          <w:kern w:val="0"/>
          <w:sz w:val="32"/>
          <w:szCs w:val="32"/>
          <w:highlight w:val="none"/>
        </w:rPr>
        <w:t>元，项目</w:t>
      </w:r>
      <w:r>
        <w:rPr>
          <w:rFonts w:hint="eastAsia" w:ascii="仿宋_GB2312" w:hAnsi="宋体" w:eastAsia="仿宋_GB2312" w:cs="宋体"/>
          <w:color w:val="000000"/>
          <w:kern w:val="0"/>
          <w:sz w:val="32"/>
          <w:szCs w:val="32"/>
          <w:highlight w:val="none"/>
        </w:rPr>
        <w:t>支出14</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868</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15</w:t>
      </w:r>
      <w:r>
        <w:rPr>
          <w:rFonts w:hint="eastAsia" w:ascii="仿宋_GB2312" w:hAnsi="仿宋_GB2312" w:eastAsia="仿宋_GB2312" w:cs="仿宋_GB2312"/>
          <w:sz w:val="32"/>
          <w:szCs w:val="32"/>
          <w:highlight w:val="none"/>
          <w:lang w:val="en-US" w:eastAsia="zh-CN"/>
        </w:rPr>
        <w:t>万</w:t>
      </w:r>
      <w:r>
        <w:rPr>
          <w:rFonts w:ascii="仿宋_GB2312" w:hAnsi="宋体" w:eastAsia="仿宋_GB2312" w:cs="宋体"/>
          <w:color w:val="000000"/>
          <w:kern w:val="0"/>
          <w:sz w:val="32"/>
          <w:szCs w:val="32"/>
          <w:highlight w:val="none"/>
        </w:rPr>
        <w:t>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仿宋_GB2312" w:eastAsia="仿宋_GB2312" w:cs="仿宋_GB2312"/>
          <w:sz w:val="32"/>
          <w:szCs w:val="32"/>
          <w:highlight w:val="none"/>
          <w:lang w:val="en-US" w:eastAsia="zh-CN"/>
        </w:rPr>
        <w:t>86.18</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000000"/>
          <w:kern w:val="0"/>
          <w:sz w:val="32"/>
          <w:szCs w:val="32"/>
          <w:highlight w:val="none"/>
        </w:rPr>
        <w:t>。</w:t>
      </w:r>
      <w:bookmarkStart w:id="18" w:name="_Toc26704"/>
    </w:p>
    <w:p w14:paraId="4FEA47B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bookmarkEnd w:id="15"/>
      <w:bookmarkEnd w:id="16"/>
      <w:bookmarkEnd w:id="17"/>
      <w:bookmarkEnd w:id="18"/>
    </w:p>
    <w:p w14:paraId="4048B68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hint="eastAsia" w:ascii="楷体_GB2312" w:eastAsia="楷体_GB2312"/>
          <w:bCs/>
          <w:sz w:val="32"/>
          <w:szCs w:val="32"/>
          <w:highlight w:val="none"/>
          <w:lang w:val="en-US" w:eastAsia="zh-CN"/>
        </w:rPr>
      </w:pPr>
      <w:bookmarkStart w:id="19" w:name="_Toc32123"/>
      <w:r>
        <w:rPr>
          <w:rFonts w:hint="eastAsia" w:ascii="楷体_GB2312" w:eastAsia="楷体_GB2312"/>
          <w:bCs/>
          <w:sz w:val="32"/>
          <w:szCs w:val="32"/>
          <w:highlight w:val="none"/>
          <w:lang w:val="en-US" w:eastAsia="zh-CN"/>
        </w:rPr>
        <w:t>（一）产出完成情况分析</w:t>
      </w:r>
      <w:bookmarkEnd w:id="19"/>
    </w:p>
    <w:p w14:paraId="55ABA6A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1.产出数量</w:t>
      </w:r>
    </w:p>
    <w:p w14:paraId="1CDDE12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rPr>
        <w:t>天安门地区管委会</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lang w:val="en-US" w:eastAsia="zh-CN"/>
        </w:rPr>
        <w:t>及二级单位年初设立项目16个，年中追加项目7个，合计23个项目，分为行政运行类和事业发展类。预算年度内，各项目均按既定目标实施，产出数量完成情况较好，具体</w:t>
      </w:r>
      <w:r>
        <w:rPr>
          <w:rFonts w:hint="eastAsia" w:ascii="仿宋_GB2312" w:hAnsi="仿宋_GB2312" w:eastAsia="仿宋_GB2312" w:cs="仿宋_GB2312"/>
          <w:sz w:val="32"/>
          <w:szCs w:val="32"/>
        </w:rPr>
        <w:t>表现在：</w:t>
      </w:r>
    </w:p>
    <w:p w14:paraId="797DFC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政务服务</w:t>
      </w:r>
      <w:r>
        <w:rPr>
          <w:rFonts w:hint="eastAsia" w:ascii="仿宋_GB2312" w:hAnsi="仿宋_GB2312" w:eastAsia="仿宋_GB2312" w:cs="仿宋_GB2312"/>
          <w:sz w:val="32"/>
          <w:szCs w:val="32"/>
          <w:highlight w:val="none"/>
          <w:lang w:val="en-US" w:eastAsia="zh-CN"/>
        </w:rPr>
        <w:t>保障</w:t>
      </w:r>
      <w:r>
        <w:rPr>
          <w:rFonts w:hint="default"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高标准完成</w:t>
      </w:r>
      <w:r>
        <w:rPr>
          <w:rFonts w:hint="eastAsia" w:ascii="仿宋_GB2312" w:hAnsi="仿宋_GB2312" w:eastAsia="仿宋_GB2312" w:cs="仿宋_GB2312"/>
          <w:sz w:val="32"/>
          <w:szCs w:val="32"/>
          <w:highlight w:val="none"/>
          <w:lang w:val="en-US" w:eastAsia="zh-CN"/>
        </w:rPr>
        <w:t>了</w:t>
      </w:r>
      <w:r>
        <w:rPr>
          <w:rFonts w:hint="default" w:ascii="仿宋_GB2312" w:hAnsi="宋体" w:eastAsia="仿宋_GB2312" w:cs="宋体"/>
          <w:kern w:val="0"/>
          <w:sz w:val="32"/>
          <w:szCs w:val="32"/>
          <w:highlight w:val="none"/>
          <w:lang w:val="en-US" w:eastAsia="zh-CN"/>
        </w:rPr>
        <w:t>中非合作论坛北京峰会、</w:t>
      </w:r>
      <w:r>
        <w:rPr>
          <w:rFonts w:hint="default" w:ascii="仿宋_GB2312" w:hAnsi="仿宋_GB2312" w:eastAsia="仿宋_GB2312" w:cs="仿宋_GB2312"/>
          <w:sz w:val="32"/>
          <w:szCs w:val="32"/>
          <w:highlight w:val="none"/>
          <w:lang w:val="en-US" w:eastAsia="zh-CN"/>
        </w:rPr>
        <w:t>全国两会、</w:t>
      </w:r>
      <w:r>
        <w:rPr>
          <w:rFonts w:hint="default" w:ascii="仿宋_GB2312" w:hAnsi="宋体" w:eastAsia="仿宋_GB2312" w:cs="宋体"/>
          <w:kern w:val="0"/>
          <w:sz w:val="32"/>
          <w:szCs w:val="32"/>
          <w:highlight w:val="none"/>
          <w:lang w:val="en-US" w:eastAsia="zh-CN"/>
        </w:rPr>
        <w:t>新中国成立75周年</w:t>
      </w:r>
      <w:r>
        <w:rPr>
          <w:rFonts w:hint="eastAsia" w:ascii="仿宋_GB2312" w:hAnsi="宋体" w:eastAsia="仿宋_GB2312" w:cs="宋体"/>
          <w:kern w:val="0"/>
          <w:sz w:val="32"/>
          <w:szCs w:val="32"/>
          <w:highlight w:val="none"/>
          <w:lang w:val="en-US" w:eastAsia="zh-CN"/>
        </w:rPr>
        <w:t>庆祝活动、</w:t>
      </w:r>
      <w:r>
        <w:rPr>
          <w:rFonts w:hint="default" w:ascii="仿宋_GB2312" w:hAnsi="宋体" w:eastAsia="仿宋_GB2312" w:cs="宋体"/>
          <w:kern w:val="0"/>
          <w:sz w:val="32"/>
          <w:szCs w:val="32"/>
          <w:highlight w:val="none"/>
          <w:lang w:val="en-US" w:eastAsia="zh-CN"/>
        </w:rPr>
        <w:t>党的二十届三中全会</w:t>
      </w:r>
      <w:r>
        <w:rPr>
          <w:rFonts w:hint="default" w:ascii="仿宋_GB2312" w:hAnsi="仿宋_GB2312" w:eastAsia="仿宋_GB2312" w:cs="仿宋_GB2312"/>
          <w:sz w:val="32"/>
          <w:szCs w:val="32"/>
          <w:highlight w:val="none"/>
          <w:lang w:val="en-US" w:eastAsia="zh-CN"/>
        </w:rPr>
        <w:t>等重要会议</w:t>
      </w:r>
      <w:r>
        <w:rPr>
          <w:rFonts w:hint="eastAsia" w:ascii="仿宋_GB2312" w:hAnsi="仿宋_GB2312" w:eastAsia="仿宋_GB2312" w:cs="仿宋_GB2312"/>
          <w:sz w:val="32"/>
          <w:szCs w:val="32"/>
          <w:highlight w:val="none"/>
          <w:lang w:val="en-US" w:eastAsia="zh-CN"/>
        </w:rPr>
        <w:t>、重要</w:t>
      </w:r>
      <w:r>
        <w:rPr>
          <w:rFonts w:hint="default" w:ascii="仿宋_GB2312" w:hAnsi="仿宋_GB2312" w:eastAsia="仿宋_GB2312" w:cs="仿宋_GB2312"/>
          <w:sz w:val="32"/>
          <w:szCs w:val="32"/>
          <w:highlight w:val="none"/>
          <w:lang w:val="en-US" w:eastAsia="zh-CN"/>
        </w:rPr>
        <w:t>活动服务保障</w:t>
      </w:r>
      <w:r>
        <w:rPr>
          <w:rFonts w:hint="eastAsia" w:ascii="仿宋_GB2312" w:hAnsi="仿宋_GB2312" w:eastAsia="仿宋_GB2312" w:cs="仿宋_GB2312"/>
          <w:sz w:val="32"/>
          <w:szCs w:val="32"/>
          <w:highlight w:val="none"/>
          <w:lang w:val="en-US" w:eastAsia="zh-CN"/>
        </w:rPr>
        <w:t>任务。</w:t>
      </w:r>
      <w:r>
        <w:rPr>
          <w:rFonts w:hint="default" w:ascii="仿宋_GB2312" w:hAnsi="仿宋_GB2312" w:eastAsia="仿宋_GB2312" w:cs="仿宋_GB2312"/>
          <w:sz w:val="32"/>
          <w:szCs w:val="32"/>
          <w:highlight w:val="none"/>
          <w:lang w:val="en-US" w:eastAsia="zh-CN"/>
        </w:rPr>
        <w:t>圆满完成</w:t>
      </w:r>
      <w:r>
        <w:rPr>
          <w:rFonts w:hint="eastAsia" w:ascii="仿宋_GB2312" w:hAnsi="仿宋_GB2312" w:eastAsia="仿宋_GB2312" w:cs="仿宋_GB2312"/>
          <w:sz w:val="32"/>
          <w:szCs w:val="32"/>
          <w:highlight w:val="none"/>
          <w:lang w:val="en-US" w:eastAsia="zh-CN"/>
        </w:rPr>
        <w:t>外</w:t>
      </w:r>
      <w:r>
        <w:rPr>
          <w:rFonts w:hint="eastAsia" w:ascii="仿宋_GB2312" w:eastAsia="仿宋_GB2312" w:cs="仿宋_GB2312"/>
          <w:sz w:val="31"/>
          <w:szCs w:val="31"/>
        </w:rPr>
        <w:t>国</w:t>
      </w:r>
      <w:r>
        <w:rPr>
          <w:rFonts w:hint="eastAsia" w:ascii="仿宋_GB2312" w:eastAsia="仿宋_GB2312" w:cs="仿宋_GB2312"/>
          <w:sz w:val="31"/>
          <w:szCs w:val="31"/>
          <w:lang w:eastAsia="zh-CN"/>
        </w:rPr>
        <w:t>国</w:t>
      </w:r>
      <w:r>
        <w:rPr>
          <w:rFonts w:hint="eastAsia" w:ascii="仿宋_GB2312" w:eastAsia="仿宋_GB2312" w:cs="仿宋_GB2312"/>
          <w:sz w:val="31"/>
          <w:szCs w:val="31"/>
        </w:rPr>
        <w:t>家来访外事</w:t>
      </w:r>
      <w:r>
        <w:rPr>
          <w:rFonts w:hint="eastAsia" w:ascii="仿宋_GB2312" w:eastAsia="仿宋_GB2312" w:cs="仿宋_GB2312"/>
          <w:sz w:val="31"/>
          <w:szCs w:val="31"/>
          <w:lang w:eastAsia="zh-CN"/>
        </w:rPr>
        <w:t>挂</w:t>
      </w:r>
      <w:r>
        <w:rPr>
          <w:rFonts w:hint="eastAsia" w:ascii="仿宋_GB2312" w:eastAsia="仿宋_GB2312" w:cs="仿宋_GB2312"/>
          <w:sz w:val="31"/>
          <w:szCs w:val="31"/>
        </w:rPr>
        <w:t>旗、</w:t>
      </w:r>
      <w:r>
        <w:rPr>
          <w:rFonts w:hint="eastAsia" w:ascii="仿宋_GB2312" w:eastAsia="仿宋_GB2312" w:cs="仿宋_GB2312"/>
          <w:sz w:val="31"/>
          <w:szCs w:val="31"/>
          <w:lang w:eastAsia="zh-CN"/>
        </w:rPr>
        <w:t>外国</w:t>
      </w:r>
      <w:r>
        <w:rPr>
          <w:rFonts w:hint="eastAsia" w:ascii="仿宋_GB2312" w:eastAsia="仿宋_GB2312" w:cs="仿宋_GB2312"/>
          <w:sz w:val="31"/>
          <w:szCs w:val="31"/>
        </w:rPr>
        <w:t>国家领导人向人民英雄纪念碑敬献花圈</w:t>
      </w:r>
      <w:r>
        <w:rPr>
          <w:rFonts w:hint="eastAsia" w:ascii="仿宋_GB2312" w:eastAsia="仿宋_GB2312" w:cs="仿宋_GB2312"/>
          <w:sz w:val="31"/>
          <w:szCs w:val="31"/>
          <w:lang w:eastAsia="zh-CN"/>
        </w:rPr>
        <w:t>等</w:t>
      </w:r>
      <w:r>
        <w:rPr>
          <w:rFonts w:hint="eastAsia" w:ascii="仿宋_GB2312" w:eastAsia="仿宋_GB2312" w:cs="仿宋_GB2312"/>
          <w:sz w:val="31"/>
          <w:szCs w:val="31"/>
        </w:rPr>
        <w:t>服务保障工作</w:t>
      </w:r>
      <w:r>
        <w:rPr>
          <w:rFonts w:hint="eastAsia" w:ascii="仿宋_GB2312" w:hAnsi="仿宋_GB2312" w:eastAsia="仿宋_GB2312" w:cs="仿宋_GB2312"/>
          <w:sz w:val="32"/>
          <w:szCs w:val="32"/>
          <w:highlight w:val="none"/>
          <w:lang w:val="en-US" w:eastAsia="zh-CN"/>
        </w:rPr>
        <w:t>。</w:t>
      </w:r>
    </w:p>
    <w:p w14:paraId="141B833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（2）秩序维护</w:t>
      </w:r>
      <w:r>
        <w:rPr>
          <w:rFonts w:hint="default"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完善常态化网格管理机制，购买</w:t>
      </w:r>
      <w:r>
        <w:rPr>
          <w:rFonts w:hint="eastAsia" w:ascii="仿宋_GB2312" w:hAnsi="仿宋_GB2312" w:eastAsia="仿宋_GB2312" w:cs="仿宋_GB2312"/>
          <w:color w:val="000000"/>
          <w:spacing w:val="-6"/>
          <w:sz w:val="32"/>
          <w:szCs w:val="32"/>
          <w:highlight w:val="none"/>
          <w:lang w:val="en-US" w:eastAsia="zh-CN"/>
        </w:rPr>
        <w:t>网格化及相关保安服务</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pacing w:val="-6"/>
          <w:sz w:val="32"/>
          <w:szCs w:val="32"/>
          <w:highlight w:val="none"/>
          <w:lang w:val="en-US" w:eastAsia="zh-CN"/>
        </w:rPr>
        <w:t>在大客流风险防范、客流疏导、旅游秩序维护、突发情况处置等方面发挥重要辅助作用，</w:t>
      </w:r>
      <w:r>
        <w:rPr>
          <w:rFonts w:hint="default" w:ascii="仿宋_GB2312" w:hAnsi="仿宋_GB2312" w:eastAsia="仿宋_GB2312" w:cs="仿宋_GB2312"/>
          <w:sz w:val="32"/>
          <w:szCs w:val="32"/>
          <w:highlight w:val="none"/>
          <w:lang w:val="en-US" w:eastAsia="zh-CN"/>
        </w:rPr>
        <w:t>及时报告、协助处置各类问题。</w:t>
      </w:r>
    </w:p>
    <w:p w14:paraId="56A23D30">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（3）应急管理方面，</w:t>
      </w:r>
      <w:r>
        <w:rPr>
          <w:rFonts w:hint="default" w:ascii="仿宋_GB2312" w:hAnsi="仿宋_GB2312" w:eastAsia="仿宋_GB2312" w:cs="仿宋_GB2312"/>
          <w:sz w:val="32"/>
          <w:szCs w:val="32"/>
          <w:highlight w:val="none"/>
          <w:lang w:val="en-US" w:eastAsia="zh-CN"/>
        </w:rPr>
        <w:t>组织开展应急宣传培训及应急综合演练，进一步健全地区应急队伍和应急物资储备体系</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增强突发情况协调应对能力。</w:t>
      </w:r>
      <w:r>
        <w:rPr>
          <w:rFonts w:hint="eastAsia" w:ascii="仿宋_GB2312" w:hAnsi="仿宋_GB2312" w:eastAsia="仿宋_GB2312" w:cs="仿宋_GB2312"/>
          <w:sz w:val="32"/>
          <w:szCs w:val="32"/>
          <w:highlight w:val="none"/>
          <w:lang w:val="en-US" w:eastAsia="zh-CN"/>
        </w:rPr>
        <w:t>完成</w:t>
      </w:r>
      <w:r>
        <w:rPr>
          <w:rFonts w:hint="default" w:ascii="仿宋_GB2312" w:hAnsi="仿宋_GB2312" w:eastAsia="仿宋_GB2312" w:cs="仿宋_GB2312"/>
          <w:sz w:val="32"/>
          <w:szCs w:val="32"/>
          <w:highlight w:val="none"/>
          <w:lang w:val="en-US" w:eastAsia="zh-CN"/>
        </w:rPr>
        <w:t>天安门地区客流监测预警管理系统建设。</w:t>
      </w:r>
    </w:p>
    <w:p w14:paraId="681B72E7">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rPr>
        <w:t>综合治理方面</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highlight w:val="none"/>
          <w:lang w:val="en-US" w:eastAsia="zh-CN"/>
        </w:rPr>
        <w:t>开展烟花爆竹禁放、安全生产</w:t>
      </w:r>
      <w:r>
        <w:rPr>
          <w:rFonts w:hint="eastAsia" w:ascii="仿宋_GB2312" w:hAnsi="仿宋_GB2312" w:eastAsia="仿宋_GB2312" w:cs="仿宋_GB2312"/>
          <w:sz w:val="32"/>
          <w:szCs w:val="32"/>
          <w:highlight w:val="none"/>
          <w:lang w:val="en-US" w:eastAsia="zh-CN"/>
        </w:rPr>
        <w:t>、检查治理；组织</w:t>
      </w:r>
      <w:r>
        <w:rPr>
          <w:rFonts w:hint="default" w:ascii="仿宋_GB2312" w:hAnsi="仿宋_GB2312" w:eastAsia="仿宋_GB2312" w:cs="仿宋_GB2312"/>
          <w:sz w:val="32"/>
          <w:szCs w:val="32"/>
          <w:highlight w:val="none"/>
          <w:lang w:val="en-US" w:eastAsia="zh-CN"/>
        </w:rPr>
        <w:t>消防安全、交通安全、群防群治等宣传培训，</w:t>
      </w:r>
      <w:r>
        <w:rPr>
          <w:rFonts w:hint="eastAsia" w:ascii="仿宋_GB2312" w:hAnsi="仿宋_GB2312" w:eastAsia="仿宋_GB2312" w:cs="仿宋_GB2312"/>
          <w:sz w:val="32"/>
          <w:szCs w:val="32"/>
          <w:lang w:val="en-US" w:eastAsia="zh-CN"/>
        </w:rPr>
        <w:t>参与人员2400余人次，</w:t>
      </w:r>
      <w:r>
        <w:rPr>
          <w:rFonts w:hint="eastAsia" w:ascii="仿宋_GB2312" w:hAnsi="仿宋_GB2312" w:eastAsia="仿宋_GB2312" w:cs="仿宋_GB2312"/>
          <w:sz w:val="32"/>
          <w:szCs w:val="32"/>
          <w:highlight w:val="none"/>
          <w:lang w:val="en-US" w:eastAsia="zh-CN"/>
        </w:rPr>
        <w:t>营造良好的安全防范氛围</w:t>
      </w:r>
      <w:r>
        <w:rPr>
          <w:rFonts w:hint="default" w:ascii="仿宋_GB2312" w:hAnsi="仿宋_GB2312" w:eastAsia="仿宋_GB2312" w:cs="仿宋_GB2312"/>
          <w:sz w:val="32"/>
          <w:szCs w:val="32"/>
          <w:highlight w:val="none"/>
          <w:lang w:val="en-US" w:eastAsia="zh-CN"/>
        </w:rPr>
        <w:t>。做好天安门地区火灾防控预警系统日常运行维护</w:t>
      </w:r>
      <w:r>
        <w:rPr>
          <w:rFonts w:hint="eastAsia" w:ascii="仿宋_GB2312" w:hAnsi="仿宋_GB2312" w:eastAsia="仿宋_GB2312" w:cs="仿宋_GB2312"/>
          <w:sz w:val="32"/>
          <w:szCs w:val="32"/>
          <w:highlight w:val="none"/>
          <w:lang w:val="en-US" w:eastAsia="zh-CN"/>
        </w:rPr>
        <w:t>。</w:t>
      </w:r>
    </w:p>
    <w:p w14:paraId="62C5BCB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宋体" w:eastAsia="仿宋_GB2312" w:cs="宋体"/>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（5）文物保护方面，</w:t>
      </w:r>
      <w:r>
        <w:rPr>
          <w:rFonts w:hint="default"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lang w:val="en-US" w:eastAsia="zh-CN"/>
        </w:rPr>
        <w:t>天安门</w:t>
      </w:r>
      <w:r>
        <w:rPr>
          <w:rFonts w:hint="default" w:ascii="仿宋_GB2312" w:hAnsi="仿宋_GB2312" w:eastAsia="仿宋_GB2312" w:cs="仿宋_GB2312"/>
          <w:sz w:val="32"/>
          <w:szCs w:val="32"/>
          <w:highlight w:val="none"/>
          <w:lang w:val="en-US" w:eastAsia="zh-CN"/>
        </w:rPr>
        <w:t>城楼、</w:t>
      </w:r>
      <w:r>
        <w:rPr>
          <w:rFonts w:hint="eastAsia" w:ascii="仿宋_GB2312" w:hAnsi="仿宋_GB2312" w:eastAsia="仿宋_GB2312" w:cs="仿宋_GB2312"/>
          <w:sz w:val="32"/>
          <w:szCs w:val="32"/>
          <w:highlight w:val="none"/>
          <w:lang w:val="en-US" w:eastAsia="zh-CN"/>
        </w:rPr>
        <w:t>东西</w:t>
      </w:r>
      <w:r>
        <w:rPr>
          <w:rFonts w:hint="default" w:ascii="仿宋_GB2312" w:hAnsi="仿宋_GB2312" w:eastAsia="仿宋_GB2312" w:cs="仿宋_GB2312"/>
          <w:sz w:val="32"/>
          <w:szCs w:val="32"/>
          <w:highlight w:val="none"/>
          <w:lang w:val="en-US" w:eastAsia="zh-CN"/>
        </w:rPr>
        <w:t>朝房、观礼台</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保护和管理使用，开展重点文物监测、检测</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维护，</w:t>
      </w:r>
      <w:r>
        <w:rPr>
          <w:rFonts w:hint="eastAsia" w:ascii="仿宋_GB2312" w:hAnsi="仿宋_GB2312" w:eastAsia="仿宋_GB2312" w:cs="仿宋_GB2312"/>
          <w:sz w:val="32"/>
          <w:szCs w:val="32"/>
          <w:highlight w:val="none"/>
          <w:lang w:val="en-US" w:eastAsia="zh-CN"/>
        </w:rPr>
        <w:t>保障</w:t>
      </w:r>
      <w:r>
        <w:rPr>
          <w:rFonts w:hint="default" w:ascii="仿宋_GB2312" w:hAnsi="仿宋_GB2312" w:eastAsia="仿宋_GB2312" w:cs="仿宋_GB2312"/>
          <w:sz w:val="32"/>
          <w:szCs w:val="32"/>
          <w:highlight w:val="none"/>
          <w:lang w:val="en-US" w:eastAsia="zh-CN"/>
        </w:rPr>
        <w:t>标志性文物的安全。</w:t>
      </w:r>
      <w:r>
        <w:rPr>
          <w:rFonts w:hint="default" w:ascii="仿宋_GB2312" w:hAnsi="宋体" w:eastAsia="仿宋_GB2312" w:cs="宋体"/>
          <w:kern w:val="0"/>
          <w:sz w:val="32"/>
          <w:szCs w:val="32"/>
          <w:highlight w:val="none"/>
          <w:lang w:val="en-US" w:eastAsia="zh-CN"/>
        </w:rPr>
        <w:t>紧盯中轴线申遗</w:t>
      </w:r>
      <w:r>
        <w:rPr>
          <w:rFonts w:hint="eastAsia" w:ascii="仿宋_GB2312" w:hAnsi="宋体" w:eastAsia="仿宋_GB2312" w:cs="宋体"/>
          <w:kern w:val="0"/>
          <w:sz w:val="32"/>
          <w:szCs w:val="32"/>
          <w:highlight w:val="none"/>
          <w:lang w:val="en-US" w:eastAsia="zh-CN"/>
        </w:rPr>
        <w:t>等</w:t>
      </w:r>
      <w:r>
        <w:rPr>
          <w:rFonts w:hint="default" w:ascii="仿宋_GB2312" w:hAnsi="宋体" w:eastAsia="仿宋_GB2312" w:cs="宋体"/>
          <w:kern w:val="0"/>
          <w:sz w:val="32"/>
          <w:szCs w:val="32"/>
          <w:highlight w:val="none"/>
          <w:lang w:val="en-US" w:eastAsia="zh-CN"/>
        </w:rPr>
        <w:t>重点任务，完成了</w:t>
      </w:r>
      <w:r>
        <w:rPr>
          <w:rFonts w:hint="eastAsia" w:ascii="仿宋_GB2312" w:hAnsi="宋体" w:eastAsia="仿宋_GB2312" w:cs="宋体"/>
          <w:kern w:val="0"/>
          <w:sz w:val="32"/>
          <w:szCs w:val="32"/>
          <w:highlight w:val="none"/>
          <w:lang w:val="en-US" w:eastAsia="zh-CN"/>
        </w:rPr>
        <w:t>相关</w:t>
      </w:r>
      <w:r>
        <w:rPr>
          <w:rFonts w:hint="default" w:ascii="仿宋_GB2312" w:hAnsi="宋体" w:eastAsia="仿宋_GB2312" w:cs="宋体"/>
          <w:kern w:val="0"/>
          <w:sz w:val="32"/>
          <w:szCs w:val="32"/>
          <w:highlight w:val="none"/>
          <w:lang w:val="en-US" w:eastAsia="zh-CN"/>
        </w:rPr>
        <w:t>建筑结构安全性检测、加固和装修改造，积极</w:t>
      </w:r>
      <w:r>
        <w:rPr>
          <w:rFonts w:hint="eastAsia" w:ascii="仿宋_GB2312" w:hAnsi="宋体" w:eastAsia="仿宋_GB2312" w:cs="宋体"/>
          <w:kern w:val="0"/>
          <w:sz w:val="32"/>
          <w:szCs w:val="32"/>
          <w:highlight w:val="none"/>
          <w:lang w:val="en-US" w:eastAsia="zh-CN"/>
        </w:rPr>
        <w:t>协调</w:t>
      </w:r>
      <w:r>
        <w:rPr>
          <w:rFonts w:hint="default" w:ascii="仿宋_GB2312" w:hAnsi="宋体" w:eastAsia="仿宋_GB2312" w:cs="宋体"/>
          <w:kern w:val="0"/>
          <w:sz w:val="32"/>
          <w:szCs w:val="32"/>
          <w:highlight w:val="none"/>
          <w:lang w:val="en-US" w:eastAsia="zh-CN"/>
        </w:rPr>
        <w:t>完成太庙临筒子河小院腾退、拆除和场地恢复。天安门、人民英雄纪念碑保护规划经国家文物局正式批复同意。</w:t>
      </w:r>
    </w:p>
    <w:p w14:paraId="58EB50C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lang w:val="en-US" w:eastAsia="zh-CN"/>
        </w:rPr>
        <w:t>建设</w:t>
      </w:r>
      <w:r>
        <w:rPr>
          <w:rFonts w:hint="default"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lang w:val="en-US" w:eastAsia="zh-CN"/>
        </w:rPr>
        <w:t>，组织开展地区市政设施巡视巡查117次</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例行</w:t>
      </w:r>
      <w:r>
        <w:rPr>
          <w:rFonts w:hint="default" w:ascii="仿宋_GB2312" w:hAnsi="仿宋_GB2312" w:eastAsia="仿宋_GB2312" w:cs="仿宋_GB2312"/>
          <w:sz w:val="32"/>
          <w:szCs w:val="32"/>
          <w:highlight w:val="none"/>
          <w:lang w:val="en-US" w:eastAsia="zh-CN"/>
        </w:rPr>
        <w:t>检修喷泉12次、清运河底淤泥2次</w:t>
      </w:r>
      <w:r>
        <w:rPr>
          <w:rFonts w:hint="eastAsia" w:ascii="仿宋_GB2312" w:hAnsi="仿宋_GB2312" w:eastAsia="仿宋_GB2312" w:cs="仿宋_GB2312"/>
          <w:sz w:val="32"/>
          <w:szCs w:val="32"/>
          <w:highlight w:val="none"/>
          <w:lang w:val="en-US" w:eastAsia="zh-CN"/>
        </w:rPr>
        <w:t>、24小时值守4392人次</w:t>
      </w:r>
      <w:r>
        <w:rPr>
          <w:rFonts w:hint="default" w:ascii="仿宋_GB2312" w:hAnsi="仿宋_GB2312" w:eastAsia="仿宋_GB2312" w:cs="仿宋_GB2312"/>
          <w:sz w:val="32"/>
          <w:szCs w:val="32"/>
          <w:highlight w:val="none"/>
          <w:lang w:val="en-US" w:eastAsia="zh-CN"/>
        </w:rPr>
        <w:t>。对地区29</w:t>
      </w:r>
      <w:r>
        <w:rPr>
          <w:rFonts w:hint="eastAsia" w:ascii="仿宋_GB2312" w:hAnsi="仿宋_GB2312" w:eastAsia="仿宋_GB2312" w:cs="仿宋_GB2312"/>
          <w:sz w:val="32"/>
          <w:szCs w:val="32"/>
          <w:highlight w:val="none"/>
          <w:lang w:val="en-US" w:eastAsia="zh-CN"/>
        </w:rPr>
        <w:t>万余平方米</w:t>
      </w:r>
      <w:r>
        <w:rPr>
          <w:rFonts w:hint="default" w:ascii="仿宋_GB2312" w:hAnsi="仿宋_GB2312" w:eastAsia="仿宋_GB2312" w:cs="仿宋_GB2312"/>
          <w:sz w:val="32"/>
          <w:szCs w:val="32"/>
          <w:highlight w:val="none"/>
          <w:lang w:val="en-US" w:eastAsia="zh-CN"/>
        </w:rPr>
        <w:t>区域进行日常清扫作业，开展地面专业药液清洗作业，确保地区环境卫生</w:t>
      </w:r>
      <w:r>
        <w:rPr>
          <w:rFonts w:hint="eastAsia" w:ascii="仿宋_GB2312" w:hAnsi="仿宋_GB2312" w:eastAsia="仿宋_GB2312" w:cs="仿宋_GB2312"/>
          <w:sz w:val="32"/>
          <w:szCs w:val="32"/>
          <w:highlight w:val="none"/>
          <w:lang w:val="en-US" w:eastAsia="zh-CN"/>
        </w:rPr>
        <w:t>良好</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在正阳门东侧、天安门广场东西侧路搭设临时厕所，保障游客如厕需求。</w:t>
      </w:r>
    </w:p>
    <w:p w14:paraId="750E8CC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（7）旅游服务</w:t>
      </w:r>
      <w:r>
        <w:rPr>
          <w:rFonts w:hint="default"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优化提升天安门广场预约参观</w:t>
      </w:r>
      <w:r>
        <w:rPr>
          <w:rFonts w:hint="eastAsia" w:ascii="仿宋_GB2312" w:hAnsi="仿宋_GB2312" w:eastAsia="仿宋_GB2312" w:cs="仿宋_GB2312"/>
          <w:sz w:val="32"/>
          <w:szCs w:val="32"/>
          <w:highlight w:val="none"/>
          <w:lang w:val="en-US" w:eastAsia="zh-CN"/>
        </w:rPr>
        <w:t>系统</w:t>
      </w:r>
      <w:r>
        <w:rPr>
          <w:rFonts w:hint="default" w:ascii="仿宋_GB2312" w:hAnsi="仿宋_GB2312" w:eastAsia="仿宋_GB2312" w:cs="仿宋_GB2312"/>
          <w:sz w:val="32"/>
          <w:szCs w:val="32"/>
          <w:highlight w:val="none"/>
          <w:lang w:val="en-US" w:eastAsia="zh-CN"/>
        </w:rPr>
        <w:t>功能</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全年地区服务接待中外游客5700余万人次。统筹做好城楼开放服务</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提升城楼预约系统服务功能</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优化设置免费存包、现场服务窗口和无障碍通行设施</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持续优化现场参观流线和服务流程。</w:t>
      </w:r>
      <w:r>
        <w:rPr>
          <w:rFonts w:hint="eastAsia" w:ascii="仿宋_GB2312" w:hAnsi="仿宋_GB2312" w:eastAsia="仿宋_GB2312" w:cs="仿宋_GB2312"/>
          <w:sz w:val="32"/>
          <w:szCs w:val="32"/>
          <w:highlight w:val="none"/>
          <w:lang w:val="en-US" w:eastAsia="zh-CN"/>
        </w:rPr>
        <w:t>开展</w:t>
      </w:r>
      <w:r>
        <w:rPr>
          <w:rFonts w:hint="default" w:ascii="仿宋_GB2312" w:hAnsi="仿宋_GB2312" w:eastAsia="仿宋_GB2312" w:cs="仿宋_GB2312"/>
          <w:sz w:val="32"/>
          <w:szCs w:val="32"/>
          <w:highlight w:val="none"/>
          <w:lang w:val="en-US" w:eastAsia="zh-CN"/>
        </w:rPr>
        <w:t>常态化志愿服务，设</w:t>
      </w:r>
      <w:r>
        <w:rPr>
          <w:rFonts w:hint="eastAsia" w:ascii="仿宋_GB2312" w:hAnsi="仿宋_GB2312" w:eastAsia="仿宋_GB2312" w:cs="仿宋_GB2312"/>
          <w:sz w:val="32"/>
          <w:szCs w:val="32"/>
          <w:highlight w:val="none"/>
          <w:lang w:val="en-US" w:eastAsia="zh-CN"/>
        </w:rPr>
        <w:t>立</w:t>
      </w:r>
      <w:r>
        <w:rPr>
          <w:rFonts w:hint="default" w:ascii="仿宋_GB2312" w:hAnsi="仿宋_GB2312" w:eastAsia="仿宋_GB2312" w:cs="仿宋_GB2312"/>
          <w:sz w:val="32"/>
          <w:szCs w:val="32"/>
          <w:highlight w:val="none"/>
          <w:lang w:val="en-US" w:eastAsia="zh-CN"/>
        </w:rPr>
        <w:t>地区党群服务中心</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“党员先锋岗”，扩大志愿服务覆盖面。</w:t>
      </w:r>
    </w:p>
    <w:p w14:paraId="1B6876F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自身建设方面</w:t>
      </w:r>
      <w:r>
        <w:rPr>
          <w:rFonts w:hint="eastAsia" w:ascii="仿宋_GB2312" w:hAnsi="仿宋_GB2312" w:eastAsia="仿宋_GB2312" w:cs="仿宋_GB2312"/>
          <w:sz w:val="32"/>
          <w:szCs w:val="32"/>
          <w:highlight w:val="none"/>
          <w:lang w:val="en-US" w:eastAsia="zh-CN"/>
        </w:rPr>
        <w:t>，做好</w:t>
      </w:r>
      <w:r>
        <w:rPr>
          <w:rFonts w:hint="default" w:ascii="仿宋_GB2312" w:hAnsi="仿宋_GB2312" w:eastAsia="仿宋_GB2312" w:cs="仿宋_GB2312"/>
          <w:sz w:val="32"/>
          <w:szCs w:val="32"/>
          <w:highlight w:val="none"/>
          <w:lang w:val="en-US" w:eastAsia="zh-CN"/>
        </w:rPr>
        <w:t>电子政务网络日常基础运行、网络安全运行、门户网站运行</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rPr>
        <w:t>信息化系统运行维护</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确保全委信息化设备安全稳定运行。全面加强政府绩效管理和预算绩效管理，强化督查问效。</w:t>
      </w:r>
    </w:p>
    <w:p w14:paraId="165BB5A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2.产出质量</w:t>
      </w:r>
    </w:p>
    <w:p w14:paraId="7EF3542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天安门地区管委会按照市委、市政府工作要求，多措并举统筹推进年度重点任务落实，各项产出质量完成情况较好。</w:t>
      </w:r>
      <w:r>
        <w:rPr>
          <w:rFonts w:hint="eastAsia" w:ascii="仿宋_GB2312" w:hAnsi="仿宋_GB2312" w:eastAsia="仿宋_GB2312" w:cs="仿宋_GB2312"/>
          <w:sz w:val="32"/>
          <w:szCs w:val="32"/>
          <w:lang w:val="en-US" w:eastAsia="zh-CN"/>
        </w:rPr>
        <w:t>表现在：</w:t>
      </w:r>
    </w:p>
    <w:p w14:paraId="30BF933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（1）公共安全服务类项目达到预期服务质量标准，进一步营造和谐稳定的地区环境。</w:t>
      </w:r>
    </w:p>
    <w:p w14:paraId="0117BD2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（2）维修维护类项目通过例行检修和常态化值守等方式，优化工作流程，加强预防性维护，地区各项设备设施保持良好运行状态。</w:t>
      </w:r>
    </w:p>
    <w:p w14:paraId="0F4A1E2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（3）信息化类项目均按计划顺利开展，全年各类系统安全平稳运行。</w:t>
      </w:r>
    </w:p>
    <w:p w14:paraId="6736A42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（4）设备设施购置类项目均通过验收，符合预期质量要求。</w:t>
      </w:r>
    </w:p>
    <w:p w14:paraId="16E590C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（5）课题研究类项目符合上级部门工作要求，并通过部门评审验收，研究成果符合要求。</w:t>
      </w:r>
    </w:p>
    <w:p w14:paraId="0DAAED8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（6）履职辅助类项目及后勤服务保障类项目按照上级各项要求和单位实际需要开展工作，各项服务达到质量要求，保障了单位正常运行和业务正常开展。</w:t>
      </w:r>
    </w:p>
    <w:p w14:paraId="0A809E2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（7）其他签订合同项目明确服务标准及质量要求，严格履约验收，均按合同约定予以完成。</w:t>
      </w:r>
    </w:p>
    <w:p w14:paraId="3E9A54F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3.产出进度</w:t>
      </w:r>
    </w:p>
    <w:p w14:paraId="52C7338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天安门地区管委会严格按照2024年部门工作计划对年度工作进行了细化分解，各项重点工作均制定了组织实施方案，明确了时间进度安排与人员分工，为顺利完成各项工作打下了良好的基础。在具体实施过程中，各项工作按照既定节奏有序推进，将产出进度控制在合理预期范围内。</w:t>
      </w:r>
    </w:p>
    <w:p w14:paraId="5688FB6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4.产出成本</w:t>
      </w:r>
    </w:p>
    <w:p w14:paraId="4AA41FD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项目实施过程中，天安门地区管委会严格按照北京市财政、财务政策要求和标准进行开支。通过严格部门预算评审、规范政府采购、强化项目管理等方式进一步控制项目成本。2024年度各项经费未出现超预算支出情况，实际成本控制在预算批复范围内。</w:t>
      </w:r>
    </w:p>
    <w:p w14:paraId="0C8BDB2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hint="eastAsia" w:ascii="楷体_GB2312" w:eastAsia="楷体_GB2312"/>
          <w:bCs/>
          <w:sz w:val="32"/>
          <w:szCs w:val="32"/>
          <w:highlight w:val="none"/>
          <w:lang w:val="en-US" w:eastAsia="zh-CN"/>
        </w:rPr>
      </w:pPr>
      <w:bookmarkStart w:id="20" w:name="_Toc7669"/>
      <w:r>
        <w:rPr>
          <w:rFonts w:hint="eastAsia" w:ascii="楷体_GB2312" w:eastAsia="楷体_GB2312"/>
          <w:bCs/>
          <w:sz w:val="32"/>
          <w:szCs w:val="32"/>
          <w:highlight w:val="none"/>
          <w:lang w:val="en-US" w:eastAsia="zh-CN"/>
        </w:rPr>
        <w:t>（二）效果实现情况分析</w:t>
      </w:r>
      <w:bookmarkEnd w:id="20"/>
    </w:p>
    <w:p w14:paraId="2201CCC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1.社会效益</w:t>
      </w:r>
    </w:p>
    <w:p w14:paraId="0889C59A">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cs="宋体"/>
          <w:b w:val="0"/>
          <w:bCs w:val="0"/>
          <w:kern w:val="0"/>
          <w:sz w:val="32"/>
          <w:szCs w:val="32"/>
          <w:highlight w:val="none"/>
          <w:lang w:val="en-US" w:eastAsia="zh-CN"/>
        </w:rPr>
      </w:pPr>
      <w:r>
        <w:rPr>
          <w:rFonts w:hint="eastAsia" w:ascii="仿宋_GB2312" w:hAnsi="宋体" w:eastAsia="仿宋_GB2312" w:cs="宋体"/>
          <w:b w:val="0"/>
          <w:bCs w:val="0"/>
          <w:kern w:val="0"/>
          <w:sz w:val="32"/>
          <w:szCs w:val="32"/>
          <w:highlight w:val="none"/>
          <w:lang w:val="en-US" w:eastAsia="zh-CN"/>
        </w:rPr>
        <w:t>（1）</w:t>
      </w:r>
      <w:r>
        <w:rPr>
          <w:rFonts w:hint="default" w:ascii="仿宋_GB2312" w:hAnsi="宋体" w:eastAsia="仿宋_GB2312" w:cs="宋体"/>
          <w:b w:val="0"/>
          <w:bCs w:val="0"/>
          <w:kern w:val="0"/>
          <w:sz w:val="32"/>
          <w:szCs w:val="32"/>
          <w:highlight w:val="none"/>
          <w:lang w:val="en-US" w:eastAsia="zh-CN"/>
        </w:rPr>
        <w:t>中央政务</w:t>
      </w:r>
      <w:r>
        <w:rPr>
          <w:rFonts w:hint="eastAsia" w:ascii="仿宋_GB2312" w:hAnsi="宋体" w:eastAsia="仿宋_GB2312" w:cs="宋体"/>
          <w:b w:val="0"/>
          <w:bCs w:val="0"/>
          <w:kern w:val="0"/>
          <w:sz w:val="32"/>
          <w:szCs w:val="32"/>
          <w:highlight w:val="none"/>
          <w:lang w:val="en-US" w:eastAsia="zh-CN"/>
        </w:rPr>
        <w:t>活动服务</w:t>
      </w:r>
      <w:r>
        <w:rPr>
          <w:rFonts w:hint="default" w:ascii="仿宋_GB2312" w:hAnsi="宋体" w:eastAsia="仿宋_GB2312" w:cs="宋体"/>
          <w:b w:val="0"/>
          <w:bCs w:val="0"/>
          <w:kern w:val="0"/>
          <w:sz w:val="32"/>
          <w:szCs w:val="32"/>
          <w:highlight w:val="none"/>
          <w:lang w:val="en-US" w:eastAsia="zh-CN"/>
        </w:rPr>
        <w:t>保障能力稳步提升</w:t>
      </w:r>
      <w:r>
        <w:rPr>
          <w:rFonts w:hint="eastAsia" w:ascii="仿宋_GB2312" w:hAnsi="宋体" w:eastAsia="仿宋_GB2312" w:cs="宋体"/>
          <w:b w:val="0"/>
          <w:bCs w:val="0"/>
          <w:kern w:val="0"/>
          <w:sz w:val="32"/>
          <w:szCs w:val="32"/>
          <w:highlight w:val="none"/>
          <w:lang w:val="en-US" w:eastAsia="zh-CN"/>
        </w:rPr>
        <w:t>。</w:t>
      </w:r>
      <w:r>
        <w:rPr>
          <w:rFonts w:hint="default" w:ascii="仿宋_GB2312" w:hAnsi="宋体" w:eastAsia="仿宋_GB2312" w:cs="宋体"/>
          <w:kern w:val="0"/>
          <w:sz w:val="32"/>
          <w:szCs w:val="32"/>
          <w:highlight w:val="none"/>
          <w:lang w:val="en-US" w:eastAsia="zh-CN"/>
        </w:rPr>
        <w:t>圆满完成新中国成立75周年庆祝活动服务保障</w:t>
      </w:r>
      <w:r>
        <w:rPr>
          <w:rFonts w:hint="eastAsia" w:ascii="仿宋_GB2312" w:hAnsi="宋体" w:eastAsia="仿宋_GB2312" w:cs="宋体"/>
          <w:kern w:val="0"/>
          <w:sz w:val="32"/>
          <w:szCs w:val="32"/>
          <w:highlight w:val="none"/>
          <w:lang w:val="en-US" w:eastAsia="zh-CN"/>
        </w:rPr>
        <w:t>工作。</w:t>
      </w:r>
      <w:r>
        <w:rPr>
          <w:rFonts w:hint="default" w:ascii="仿宋_GB2312" w:hAnsi="宋体" w:eastAsia="仿宋_GB2312" w:cs="宋体"/>
          <w:kern w:val="0"/>
          <w:sz w:val="32"/>
          <w:szCs w:val="32"/>
          <w:highlight w:val="none"/>
          <w:lang w:val="en-US" w:eastAsia="zh-CN"/>
        </w:rPr>
        <w:t>10月1日</w:t>
      </w:r>
      <w:r>
        <w:rPr>
          <w:rFonts w:hint="eastAsia" w:ascii="仿宋_GB2312" w:hAnsi="宋体" w:eastAsia="仿宋_GB2312" w:cs="宋体"/>
          <w:kern w:val="0"/>
          <w:sz w:val="32"/>
          <w:szCs w:val="32"/>
          <w:highlight w:val="none"/>
          <w:lang w:val="en-US" w:eastAsia="zh-CN"/>
        </w:rPr>
        <w:t>组织8000余名社会各界代表集体观礼，12.3万名群众在广场观看了升国旗仪式，1万羽和平鸽和3万只彩气球烘托氛围，实现了安全、平稳、有序、喜庆的工作目标。</w:t>
      </w:r>
      <w:r>
        <w:rPr>
          <w:rFonts w:hint="default" w:ascii="仿宋_GB2312" w:hAnsi="宋体" w:eastAsia="仿宋_GB2312" w:cs="宋体"/>
          <w:kern w:val="0"/>
          <w:sz w:val="32"/>
          <w:szCs w:val="32"/>
          <w:highlight w:val="none"/>
          <w:lang w:val="en-US" w:eastAsia="zh-CN"/>
        </w:rPr>
        <w:t>高标准做好烈士纪念日向人民英雄敬献花篮仪式服务保障</w:t>
      </w:r>
      <w:r>
        <w:rPr>
          <w:rFonts w:hint="eastAsia" w:ascii="仿宋_GB2312" w:hAnsi="宋体" w:eastAsia="仿宋_GB2312" w:cs="宋体"/>
          <w:kern w:val="0"/>
          <w:sz w:val="32"/>
          <w:szCs w:val="32"/>
          <w:highlight w:val="none"/>
          <w:lang w:val="en-US" w:eastAsia="zh-CN"/>
        </w:rPr>
        <w:t>工作</w:t>
      </w:r>
      <w:r>
        <w:rPr>
          <w:rFonts w:hint="default" w:ascii="仿宋_GB2312" w:hAnsi="宋体" w:eastAsia="仿宋_GB2312" w:cs="宋体"/>
          <w:kern w:val="0"/>
          <w:sz w:val="32"/>
          <w:szCs w:val="32"/>
          <w:highlight w:val="none"/>
          <w:lang w:val="en-US" w:eastAsia="zh-CN"/>
        </w:rPr>
        <w:t>，克服天气等不利因素</w:t>
      </w:r>
      <w:r>
        <w:rPr>
          <w:rFonts w:hint="eastAsia" w:ascii="仿宋_GB2312" w:hAnsi="宋体" w:eastAsia="仿宋_GB2312" w:cs="宋体"/>
          <w:kern w:val="0"/>
          <w:sz w:val="32"/>
          <w:szCs w:val="32"/>
          <w:highlight w:val="none"/>
          <w:lang w:val="en-US" w:eastAsia="zh-CN"/>
        </w:rPr>
        <w:t>影响</w:t>
      </w:r>
      <w:r>
        <w:rPr>
          <w:rFonts w:hint="default"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lang w:val="en-US" w:eastAsia="zh-CN"/>
        </w:rPr>
        <w:t>精心</w:t>
      </w:r>
      <w:r>
        <w:rPr>
          <w:rFonts w:hint="default" w:ascii="仿宋_GB2312" w:hAnsi="宋体" w:eastAsia="仿宋_GB2312" w:cs="宋体"/>
          <w:kern w:val="0"/>
          <w:sz w:val="32"/>
          <w:szCs w:val="32"/>
          <w:highlight w:val="none"/>
          <w:lang w:val="en-US" w:eastAsia="zh-CN"/>
        </w:rPr>
        <w:t>做好地毯铺设、</w:t>
      </w:r>
      <w:r>
        <w:rPr>
          <w:rFonts w:hint="eastAsia" w:ascii="仿宋_GB2312" w:hAnsi="宋体" w:eastAsia="仿宋_GB2312" w:cs="宋体"/>
          <w:kern w:val="0"/>
          <w:sz w:val="32"/>
          <w:szCs w:val="32"/>
          <w:highlight w:val="none"/>
          <w:lang w:val="en-US" w:eastAsia="zh-CN"/>
        </w:rPr>
        <w:t>人民英雄</w:t>
      </w:r>
      <w:r>
        <w:rPr>
          <w:rFonts w:hint="default" w:ascii="仿宋_GB2312" w:hAnsi="宋体" w:eastAsia="仿宋_GB2312" w:cs="宋体"/>
          <w:kern w:val="0"/>
          <w:sz w:val="32"/>
          <w:szCs w:val="32"/>
          <w:highlight w:val="none"/>
          <w:lang w:val="en-US" w:eastAsia="zh-CN"/>
        </w:rPr>
        <w:t>纪念碑清洗养护和景观布置等工作，营造了庄严肃穆的活动氛围。</w:t>
      </w:r>
    </w:p>
    <w:p w14:paraId="6561F172">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s="宋体"/>
          <w:b w:val="0"/>
          <w:bCs w:val="0"/>
          <w:kern w:val="0"/>
          <w:sz w:val="32"/>
          <w:szCs w:val="32"/>
          <w:highlight w:val="none"/>
          <w:lang w:val="en-US" w:eastAsia="zh-CN"/>
        </w:rPr>
      </w:pPr>
      <w:r>
        <w:rPr>
          <w:rFonts w:hint="eastAsia" w:ascii="仿宋_GB2312" w:hAnsi="宋体" w:eastAsia="仿宋_GB2312" w:cs="宋体"/>
          <w:b w:val="0"/>
          <w:bCs w:val="0"/>
          <w:kern w:val="0"/>
          <w:sz w:val="32"/>
          <w:szCs w:val="32"/>
          <w:highlight w:val="none"/>
          <w:lang w:val="en-US" w:eastAsia="zh-CN"/>
        </w:rPr>
        <w:t>（2）</w:t>
      </w:r>
      <w:r>
        <w:rPr>
          <w:rFonts w:hint="default" w:ascii="仿宋_GB2312" w:hAnsi="宋体" w:eastAsia="仿宋_GB2312" w:cs="宋体"/>
          <w:b w:val="0"/>
          <w:bCs w:val="0"/>
          <w:kern w:val="0"/>
          <w:sz w:val="32"/>
          <w:szCs w:val="32"/>
          <w:highlight w:val="none"/>
          <w:lang w:val="en-US" w:eastAsia="zh-CN"/>
        </w:rPr>
        <w:t>安全稳定局面保持良好态势</w:t>
      </w:r>
      <w:r>
        <w:rPr>
          <w:rFonts w:hint="eastAsia" w:ascii="仿宋_GB2312" w:hAnsi="宋体" w:eastAsia="仿宋_GB2312" w:cs="宋体"/>
          <w:b w:val="0"/>
          <w:bCs w:val="0"/>
          <w:kern w:val="0"/>
          <w:sz w:val="32"/>
          <w:szCs w:val="32"/>
          <w:highlight w:val="none"/>
          <w:lang w:val="en-US" w:eastAsia="zh-CN"/>
        </w:rPr>
        <w:t>。</w:t>
      </w:r>
      <w:r>
        <w:rPr>
          <w:rFonts w:hint="eastAsia" w:ascii="仿宋_GB2312" w:eastAsia="仿宋_GB2312" w:cs="仿宋_GB2312"/>
          <w:sz w:val="31"/>
          <w:szCs w:val="31"/>
        </w:rPr>
        <w:t>发挥地区应急委统筹牵动作用，固化定期会商研判工作机制，常态化开展桌面推演和培训演练，提升各类突发事件处置能力。</w:t>
      </w:r>
      <w:r>
        <w:rPr>
          <w:rFonts w:hint="default" w:ascii="仿宋_GB2312" w:hAnsi="宋体" w:eastAsia="仿宋_GB2312" w:cs="宋体"/>
          <w:b w:val="0"/>
          <w:bCs w:val="0"/>
          <w:kern w:val="0"/>
          <w:sz w:val="32"/>
          <w:szCs w:val="32"/>
          <w:highlight w:val="none"/>
          <w:lang w:val="en-US" w:eastAsia="zh-CN"/>
        </w:rPr>
        <w:t>编制地区灾害事故应急指挥调度与处置总体方案，健全完善专项预案，</w:t>
      </w:r>
      <w:r>
        <w:rPr>
          <w:rFonts w:hint="eastAsia" w:ascii="仿宋_GB2312" w:hAnsi="宋体" w:eastAsia="仿宋_GB2312" w:cs="宋体"/>
          <w:b w:val="0"/>
          <w:bCs w:val="0"/>
          <w:kern w:val="0"/>
          <w:sz w:val="32"/>
          <w:szCs w:val="32"/>
          <w:highlight w:val="none"/>
          <w:lang w:val="en-US" w:eastAsia="zh-CN"/>
        </w:rPr>
        <w:t>切实做好各类极端天气的应对工作。完善</w:t>
      </w:r>
      <w:r>
        <w:rPr>
          <w:rFonts w:hint="default" w:ascii="仿宋_GB2312" w:hAnsi="宋体" w:eastAsia="仿宋_GB2312" w:cs="宋体"/>
          <w:b w:val="0"/>
          <w:bCs w:val="0"/>
          <w:kern w:val="0"/>
          <w:sz w:val="32"/>
          <w:szCs w:val="32"/>
          <w:highlight w:val="none"/>
          <w:lang w:val="en-US" w:eastAsia="zh-CN"/>
        </w:rPr>
        <w:t>节日指挥调度体系，</w:t>
      </w:r>
      <w:r>
        <w:rPr>
          <w:rFonts w:hint="eastAsia" w:ascii="仿宋_GB2312" w:hAnsi="宋体" w:eastAsia="仿宋_GB2312" w:cs="宋体"/>
          <w:b w:val="0"/>
          <w:bCs w:val="0"/>
          <w:kern w:val="0"/>
          <w:sz w:val="32"/>
          <w:szCs w:val="32"/>
          <w:highlight w:val="none"/>
          <w:lang w:val="en-US" w:eastAsia="zh-CN"/>
        </w:rPr>
        <w:t>优化</w:t>
      </w:r>
      <w:r>
        <w:rPr>
          <w:rFonts w:hint="default" w:ascii="仿宋_GB2312" w:hAnsi="宋体" w:eastAsia="仿宋_GB2312" w:cs="宋体"/>
          <w:b w:val="0"/>
          <w:bCs w:val="0"/>
          <w:kern w:val="0"/>
          <w:sz w:val="32"/>
          <w:szCs w:val="32"/>
          <w:highlight w:val="none"/>
          <w:lang w:val="en-US" w:eastAsia="zh-CN"/>
        </w:rPr>
        <w:t>应急值班模式，指挥调度综合质效取得新的提升。</w:t>
      </w:r>
      <w:r>
        <w:rPr>
          <w:rFonts w:hint="eastAsia" w:ascii="仿宋_GB2312" w:hAnsi="宋体" w:eastAsia="仿宋_GB2312" w:cs="宋体"/>
          <w:b w:val="0"/>
          <w:bCs w:val="0"/>
          <w:kern w:val="0"/>
          <w:sz w:val="32"/>
          <w:szCs w:val="32"/>
          <w:highlight w:val="none"/>
          <w:lang w:val="en-US" w:eastAsia="zh-CN"/>
        </w:rPr>
        <w:t>积极</w:t>
      </w:r>
      <w:r>
        <w:rPr>
          <w:rFonts w:hint="default" w:ascii="仿宋_GB2312" w:hAnsi="宋体" w:eastAsia="仿宋_GB2312" w:cs="宋体"/>
          <w:b w:val="0"/>
          <w:bCs w:val="0"/>
          <w:kern w:val="0"/>
          <w:sz w:val="32"/>
          <w:szCs w:val="32"/>
          <w:highlight w:val="none"/>
          <w:lang w:val="en-US" w:eastAsia="zh-CN"/>
        </w:rPr>
        <w:t>推动安全生产和消防安全治本攻坚三年行动，开展燃气安全、电气火灾防范专项整治</w:t>
      </w:r>
      <w:r>
        <w:rPr>
          <w:rFonts w:hint="eastAsia" w:ascii="仿宋_GB2312" w:hAnsi="宋体" w:eastAsia="仿宋_GB2312" w:cs="宋体"/>
          <w:b w:val="0"/>
          <w:bCs w:val="0"/>
          <w:kern w:val="0"/>
          <w:sz w:val="32"/>
          <w:szCs w:val="32"/>
          <w:highlight w:val="none"/>
          <w:lang w:val="en-US" w:eastAsia="zh-CN"/>
        </w:rPr>
        <w:t>工作</w:t>
      </w:r>
      <w:r>
        <w:rPr>
          <w:rFonts w:hint="default" w:ascii="仿宋_GB2312" w:hAnsi="宋体" w:eastAsia="仿宋_GB2312" w:cs="宋体"/>
          <w:b w:val="0"/>
          <w:bCs w:val="0"/>
          <w:kern w:val="0"/>
          <w:sz w:val="32"/>
          <w:szCs w:val="32"/>
          <w:highlight w:val="none"/>
          <w:lang w:val="en-US" w:eastAsia="zh-CN"/>
        </w:rPr>
        <w:t>，电动自行车实现辖区内全部清零。联合开展安全生产普法宣传、消防演练拉动，常态化开展公共安全隐患排查整治，固化回访核查工作机制，地区“零冒烟、零起火、零事故”的防控成效持续巩固。</w:t>
      </w:r>
    </w:p>
    <w:p w14:paraId="3255F043">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b w:val="0"/>
          <w:bCs w:val="0"/>
          <w:kern w:val="0"/>
          <w:sz w:val="32"/>
          <w:szCs w:val="32"/>
          <w:highlight w:val="none"/>
          <w:lang w:val="en-US" w:eastAsia="zh-CN"/>
        </w:rPr>
        <w:t>（3）参观</w:t>
      </w:r>
      <w:r>
        <w:rPr>
          <w:rFonts w:hint="default" w:ascii="仿宋_GB2312" w:hAnsi="宋体" w:eastAsia="仿宋_GB2312" w:cs="宋体"/>
          <w:b w:val="0"/>
          <w:bCs w:val="0"/>
          <w:kern w:val="0"/>
          <w:sz w:val="32"/>
          <w:szCs w:val="32"/>
          <w:highlight w:val="none"/>
          <w:lang w:val="en-US" w:eastAsia="zh-CN"/>
        </w:rPr>
        <w:t>群众获得感更加充实</w:t>
      </w:r>
      <w:r>
        <w:rPr>
          <w:rFonts w:hint="eastAsia" w:ascii="仿宋_GB2312" w:hAnsi="宋体" w:eastAsia="仿宋_GB2312" w:cs="宋体"/>
          <w:b w:val="0"/>
          <w:bCs w:val="0"/>
          <w:kern w:val="0"/>
          <w:sz w:val="32"/>
          <w:szCs w:val="32"/>
          <w:highlight w:val="none"/>
          <w:lang w:val="en-US" w:eastAsia="zh-CN"/>
        </w:rPr>
        <w:t>。</w:t>
      </w:r>
      <w:r>
        <w:rPr>
          <w:rFonts w:hint="default" w:ascii="仿宋_GB2312" w:hAnsi="宋体" w:eastAsia="仿宋_GB2312" w:cs="宋体"/>
          <w:kern w:val="0"/>
          <w:sz w:val="32"/>
          <w:szCs w:val="32"/>
          <w:highlight w:val="none"/>
          <w:lang w:val="en-US" w:eastAsia="zh-CN"/>
        </w:rPr>
        <w:t>坚持站在群众角度想问题解难题，推动安检通行效率提升，优化预约参观动态调控措施，延长暑期广场夜间开放时间。从细节入手提升服务品质，推送极端天气预警信息，做好</w:t>
      </w:r>
      <w:r>
        <w:rPr>
          <w:rFonts w:hint="eastAsia" w:ascii="仿宋_GB2312" w:hAnsi="宋体" w:eastAsia="仿宋_GB2312" w:cs="宋体"/>
          <w:kern w:val="0"/>
          <w:sz w:val="32"/>
          <w:szCs w:val="32"/>
          <w:highlight w:val="none"/>
          <w:lang w:val="en-US" w:eastAsia="zh-CN"/>
        </w:rPr>
        <w:t>大客流时段</w:t>
      </w:r>
      <w:r>
        <w:rPr>
          <w:rFonts w:hint="default" w:ascii="仿宋_GB2312" w:hAnsi="宋体" w:eastAsia="仿宋_GB2312" w:cs="宋体"/>
          <w:kern w:val="0"/>
          <w:sz w:val="32"/>
          <w:szCs w:val="32"/>
          <w:highlight w:val="none"/>
          <w:lang w:val="en-US" w:eastAsia="zh-CN"/>
        </w:rPr>
        <w:t>群众如厕保障</w:t>
      </w:r>
      <w:r>
        <w:rPr>
          <w:rFonts w:hint="eastAsia" w:ascii="仿宋_GB2312" w:hAnsi="宋体" w:eastAsia="仿宋_GB2312" w:cs="宋体"/>
          <w:kern w:val="0"/>
          <w:sz w:val="32"/>
          <w:szCs w:val="32"/>
          <w:highlight w:val="none"/>
          <w:lang w:val="en-US" w:eastAsia="zh-CN"/>
        </w:rPr>
        <w:t>。</w:t>
      </w:r>
      <w:r>
        <w:rPr>
          <w:rFonts w:hint="default" w:ascii="仿宋_GB2312" w:hAnsi="宋体" w:eastAsia="仿宋_GB2312" w:cs="宋体"/>
          <w:kern w:val="0"/>
          <w:sz w:val="32"/>
          <w:szCs w:val="32"/>
          <w:highlight w:val="none"/>
          <w:lang w:val="en-US" w:eastAsia="zh-CN"/>
        </w:rPr>
        <w:t>不断扩展爱国主义教育辐射的深度和广度，与</w:t>
      </w:r>
      <w:r>
        <w:rPr>
          <w:rFonts w:hint="eastAsia" w:ascii="仿宋_GB2312" w:hAnsi="宋体" w:eastAsia="仿宋_GB2312" w:cs="宋体"/>
          <w:kern w:val="0"/>
          <w:sz w:val="32"/>
          <w:szCs w:val="32"/>
          <w:highlight w:val="none"/>
          <w:lang w:val="en-US" w:eastAsia="zh-CN"/>
        </w:rPr>
        <w:t>多</w:t>
      </w:r>
      <w:r>
        <w:rPr>
          <w:rFonts w:hint="default" w:ascii="仿宋_GB2312" w:hAnsi="宋体" w:eastAsia="仿宋_GB2312" w:cs="宋体"/>
          <w:kern w:val="0"/>
          <w:sz w:val="32"/>
          <w:szCs w:val="32"/>
          <w:highlight w:val="none"/>
          <w:lang w:val="en-US" w:eastAsia="zh-CN"/>
        </w:rPr>
        <w:t>部门和多所高校合作共建。服务保障外事团组、港澳台、边疆少数民族地区</w:t>
      </w:r>
      <w:r>
        <w:rPr>
          <w:rFonts w:hint="eastAsia" w:ascii="仿宋_GB2312" w:hAnsi="宋体" w:eastAsia="仿宋_GB2312" w:cs="宋体"/>
          <w:kern w:val="0"/>
          <w:sz w:val="32"/>
          <w:szCs w:val="32"/>
          <w:highlight w:val="none"/>
          <w:lang w:val="en-US" w:eastAsia="zh-CN"/>
        </w:rPr>
        <w:t>和</w:t>
      </w:r>
      <w:r>
        <w:rPr>
          <w:rFonts w:hint="default" w:ascii="仿宋_GB2312" w:hAnsi="宋体" w:eastAsia="仿宋_GB2312" w:cs="宋体"/>
          <w:kern w:val="0"/>
          <w:sz w:val="32"/>
          <w:szCs w:val="32"/>
          <w:highlight w:val="none"/>
          <w:lang w:val="en-US" w:eastAsia="zh-CN"/>
        </w:rPr>
        <w:t>党政</w:t>
      </w:r>
      <w:r>
        <w:rPr>
          <w:rFonts w:hint="eastAsia" w:ascii="仿宋_GB2312" w:hAnsi="宋体" w:eastAsia="仿宋_GB2312" w:cs="宋体"/>
          <w:kern w:val="0"/>
          <w:sz w:val="32"/>
          <w:szCs w:val="32"/>
          <w:highlight w:val="none"/>
          <w:lang w:val="en-US" w:eastAsia="zh-CN"/>
        </w:rPr>
        <w:t>机关、</w:t>
      </w:r>
      <w:r>
        <w:rPr>
          <w:rFonts w:hint="default" w:ascii="仿宋_GB2312" w:hAnsi="宋体" w:eastAsia="仿宋_GB2312" w:cs="宋体"/>
          <w:kern w:val="0"/>
          <w:sz w:val="32"/>
          <w:szCs w:val="32"/>
          <w:highlight w:val="none"/>
          <w:lang w:val="en-US" w:eastAsia="zh-CN"/>
        </w:rPr>
        <w:t>群团</w:t>
      </w:r>
      <w:r>
        <w:rPr>
          <w:rFonts w:hint="eastAsia" w:ascii="仿宋_GB2312" w:hAnsi="宋体" w:eastAsia="仿宋_GB2312" w:cs="宋体"/>
          <w:kern w:val="0"/>
          <w:sz w:val="32"/>
          <w:szCs w:val="32"/>
          <w:highlight w:val="none"/>
          <w:lang w:val="en-US" w:eastAsia="zh-CN"/>
        </w:rPr>
        <w:t>组织</w:t>
      </w:r>
      <w:r>
        <w:rPr>
          <w:rFonts w:hint="default" w:ascii="仿宋_GB2312" w:hAnsi="宋体" w:eastAsia="仿宋_GB2312" w:cs="宋体"/>
          <w:kern w:val="0"/>
          <w:sz w:val="32"/>
          <w:szCs w:val="32"/>
          <w:highlight w:val="none"/>
          <w:lang w:val="en-US" w:eastAsia="zh-CN"/>
        </w:rPr>
        <w:t>到天安门广场和天安门城楼开展教育活动。开展“天安门广场思政大讲堂”宣讲，做实国旗赠出后管理使用“后半篇文章”，地区红色文化软实力、影响力进一步加强。完善中英文导视标识系统，推进预约系统英文版建设，持续优化</w:t>
      </w:r>
      <w:r>
        <w:rPr>
          <w:rFonts w:hint="eastAsia" w:ascii="仿宋_GB2312" w:hAnsi="宋体" w:eastAsia="仿宋_GB2312" w:cs="宋体"/>
          <w:kern w:val="0"/>
          <w:sz w:val="32"/>
          <w:szCs w:val="32"/>
          <w:highlight w:val="none"/>
          <w:lang w:val="en-US" w:eastAsia="zh-CN"/>
        </w:rPr>
        <w:t>天安门</w:t>
      </w:r>
      <w:r>
        <w:rPr>
          <w:rFonts w:hint="default" w:ascii="仿宋_GB2312" w:hAnsi="宋体" w:eastAsia="仿宋_GB2312" w:cs="宋体"/>
          <w:kern w:val="0"/>
          <w:sz w:val="32"/>
          <w:szCs w:val="32"/>
          <w:highlight w:val="none"/>
          <w:lang w:val="en-US" w:eastAsia="zh-CN"/>
        </w:rPr>
        <w:t>地区国际化旅游公共服务环境。</w:t>
      </w:r>
    </w:p>
    <w:p w14:paraId="37491D1E">
      <w:pPr>
        <w:keepNext w:val="0"/>
        <w:keepLines w:val="0"/>
        <w:pageBreakBefore w:val="0"/>
        <w:kinsoku/>
        <w:wordWrap/>
        <w:overflowPunct/>
        <w:topLinePunct w:val="0"/>
        <w:autoSpaceDE/>
        <w:autoSpaceDN/>
        <w:bidi w:val="0"/>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b w:val="0"/>
          <w:bCs w:val="0"/>
          <w:kern w:val="0"/>
          <w:sz w:val="32"/>
          <w:szCs w:val="32"/>
          <w:highlight w:val="none"/>
          <w:lang w:val="en-US" w:eastAsia="zh-CN"/>
        </w:rPr>
        <w:t>（4）</w:t>
      </w:r>
      <w:r>
        <w:rPr>
          <w:rFonts w:hint="default" w:ascii="仿宋_GB2312" w:hAnsi="宋体" w:eastAsia="仿宋_GB2312" w:cs="宋体"/>
          <w:b w:val="0"/>
          <w:bCs w:val="0"/>
          <w:kern w:val="0"/>
          <w:sz w:val="32"/>
          <w:szCs w:val="32"/>
          <w:highlight w:val="none"/>
          <w:lang w:val="en-US" w:eastAsia="zh-CN"/>
        </w:rPr>
        <w:t>综合治理成效再上新台阶</w:t>
      </w:r>
      <w:r>
        <w:rPr>
          <w:rFonts w:hint="eastAsia" w:ascii="仿宋_GB2312" w:hAnsi="宋体" w:eastAsia="仿宋_GB2312" w:cs="宋体"/>
          <w:b w:val="0"/>
          <w:bCs w:val="0"/>
          <w:kern w:val="0"/>
          <w:sz w:val="32"/>
          <w:szCs w:val="32"/>
          <w:highlight w:val="none"/>
          <w:lang w:val="en-US" w:eastAsia="zh-CN"/>
        </w:rPr>
        <w:t>。</w:t>
      </w:r>
      <w:r>
        <w:rPr>
          <w:rFonts w:hint="default" w:ascii="仿宋_GB2312" w:hAnsi="宋体" w:eastAsia="仿宋_GB2312" w:cs="宋体"/>
          <w:kern w:val="0"/>
          <w:sz w:val="32"/>
          <w:szCs w:val="32"/>
          <w:highlight w:val="none"/>
          <w:lang w:val="en-US" w:eastAsia="zh-CN"/>
        </w:rPr>
        <w:t>深化拓展精神文明建设实践活动，成功举办天安门地区年度篮球、羽毛球友谊赛。统筹推进地区城市家具更新行动，协调</w:t>
      </w:r>
      <w:r>
        <w:rPr>
          <w:rFonts w:hint="eastAsia" w:ascii="仿宋_GB2312" w:hAnsi="宋体" w:eastAsia="仿宋_GB2312" w:cs="宋体"/>
          <w:kern w:val="0"/>
          <w:sz w:val="32"/>
          <w:szCs w:val="32"/>
          <w:highlight w:val="none"/>
          <w:lang w:val="en-US" w:eastAsia="zh-CN"/>
        </w:rPr>
        <w:t>做好各类</w:t>
      </w:r>
      <w:r>
        <w:rPr>
          <w:rFonts w:hint="default" w:ascii="仿宋_GB2312" w:hAnsi="宋体" w:eastAsia="仿宋_GB2312" w:cs="宋体"/>
          <w:kern w:val="0"/>
          <w:sz w:val="32"/>
          <w:szCs w:val="32"/>
          <w:highlight w:val="none"/>
          <w:lang w:val="en-US" w:eastAsia="zh-CN"/>
        </w:rPr>
        <w:t>管线</w:t>
      </w:r>
      <w:r>
        <w:rPr>
          <w:rFonts w:hint="eastAsia" w:ascii="仿宋_GB2312" w:hAnsi="宋体" w:eastAsia="仿宋_GB2312" w:cs="宋体"/>
          <w:kern w:val="0"/>
          <w:sz w:val="32"/>
          <w:szCs w:val="32"/>
          <w:highlight w:val="none"/>
          <w:lang w:val="en-US" w:eastAsia="zh-CN"/>
        </w:rPr>
        <w:t>的维护工作</w:t>
      </w:r>
      <w:r>
        <w:rPr>
          <w:rFonts w:hint="default" w:ascii="仿宋_GB2312" w:hAnsi="宋体" w:eastAsia="仿宋_GB2312" w:cs="宋体"/>
          <w:kern w:val="0"/>
          <w:sz w:val="32"/>
          <w:szCs w:val="32"/>
          <w:highlight w:val="none"/>
          <w:lang w:val="en-US" w:eastAsia="zh-CN"/>
        </w:rPr>
        <w:t>，确保城市“生命线”稳定运行。创新环卫作业手段和模式，地区环境卫生洁净指数位居全市各区（地区）第一名。深化“城管＋公安+文旅”执法模式，</w:t>
      </w:r>
      <w:r>
        <w:rPr>
          <w:rFonts w:hint="eastAsia" w:ascii="仿宋_GB2312" w:hAnsi="宋体" w:eastAsia="仿宋_GB2312" w:cs="宋体"/>
          <w:kern w:val="0"/>
          <w:sz w:val="32"/>
          <w:szCs w:val="32"/>
          <w:highlight w:val="none"/>
          <w:lang w:val="en-US" w:eastAsia="zh-CN"/>
        </w:rPr>
        <w:t>取得</w:t>
      </w:r>
      <w:r>
        <w:rPr>
          <w:rFonts w:hint="default" w:ascii="仿宋_GB2312" w:hAnsi="宋体" w:eastAsia="仿宋_GB2312" w:cs="宋体"/>
          <w:kern w:val="0"/>
          <w:sz w:val="32"/>
          <w:szCs w:val="32"/>
          <w:highlight w:val="none"/>
          <w:lang w:val="en-US" w:eastAsia="zh-CN"/>
        </w:rPr>
        <w:t>良好效果。持续开展扰序行为专项整治，无照经营等违法</w:t>
      </w:r>
      <w:r>
        <w:rPr>
          <w:rFonts w:hint="eastAsia" w:ascii="仿宋_GB2312" w:hAnsi="宋体" w:eastAsia="仿宋_GB2312" w:cs="宋体"/>
          <w:kern w:val="0"/>
          <w:sz w:val="32"/>
          <w:szCs w:val="32"/>
          <w:highlight w:val="none"/>
          <w:lang w:val="en-US" w:eastAsia="zh-CN"/>
        </w:rPr>
        <w:t>行为</w:t>
      </w:r>
      <w:r>
        <w:rPr>
          <w:rFonts w:hint="default" w:ascii="仿宋_GB2312" w:hAnsi="宋体" w:eastAsia="仿宋_GB2312" w:cs="宋体"/>
          <w:kern w:val="0"/>
          <w:sz w:val="32"/>
          <w:szCs w:val="32"/>
          <w:highlight w:val="none"/>
          <w:lang w:val="en-US" w:eastAsia="zh-CN"/>
        </w:rPr>
        <w:t>实现动态清零。</w:t>
      </w:r>
    </w:p>
    <w:p w14:paraId="1BC14C89">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cs="宋体"/>
          <w:kern w:val="0"/>
          <w:sz w:val="32"/>
          <w:szCs w:val="32"/>
          <w:highlight w:val="none"/>
          <w:lang w:val="en-US" w:eastAsia="zh-CN"/>
        </w:rPr>
      </w:pPr>
      <w:bookmarkStart w:id="21" w:name="_Toc21355"/>
      <w:bookmarkStart w:id="22" w:name="_Toc6982"/>
      <w:bookmarkStart w:id="23" w:name="_Toc4480"/>
      <w:r>
        <w:rPr>
          <w:rFonts w:hint="eastAsia" w:ascii="仿宋_GB2312" w:hAnsi="宋体" w:eastAsia="仿宋_GB2312" w:cs="宋体"/>
          <w:kern w:val="0"/>
          <w:sz w:val="32"/>
          <w:szCs w:val="32"/>
          <w:highlight w:val="none"/>
          <w:lang w:val="en-US" w:eastAsia="zh-CN"/>
        </w:rPr>
        <w:t>2.服务对象满意度</w:t>
      </w:r>
    </w:p>
    <w:p w14:paraId="4649CFF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宋体" w:eastAsia="仿宋_GB2312" w:cs="宋体"/>
          <w:kern w:val="0"/>
          <w:sz w:val="32"/>
          <w:szCs w:val="32"/>
          <w:highlight w:val="none"/>
          <w:lang w:val="en-US" w:eastAsia="zh-CN"/>
        </w:rPr>
        <w:t>部门各预算项目的服务对象满意度结果显示，服务对象的满意度较高。</w:t>
      </w:r>
      <w:r>
        <w:rPr>
          <w:rFonts w:hint="eastAsia" w:ascii="仿宋_GB2312" w:hAnsi="仿宋_GB2312" w:eastAsia="仿宋_GB2312" w:cs="仿宋_GB2312"/>
          <w:sz w:val="32"/>
          <w:szCs w:val="32"/>
          <w:lang w:val="en-US" w:eastAsia="zh-CN"/>
        </w:rPr>
        <w:t>满意度收集渠道包括天安门地区管委会在官方网站上设置的“调查问卷”专栏、对外联系电话和综合绩效管理中开展的驻区单位满意度和社会满意度调查。从网站上收集的群众反映情况来看，北京市民和中外游客对管委会相关部门的服务保障工作满意度较高；从对外联系电话的统计数据来看，涉及管委会管理职责的投诉类诉求较少；从驻区单位满意度调查来看，对履职成效满意度较高。</w:t>
      </w:r>
    </w:p>
    <w:p w14:paraId="5C14EF3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hint="eastAsia" w:ascii="黑体" w:hAnsi="黑体" w:eastAsia="黑体" w:cs="宋体"/>
          <w:color w:val="000000"/>
          <w:kern w:val="0"/>
          <w:sz w:val="32"/>
          <w:szCs w:val="32"/>
          <w:highlight w:val="none"/>
        </w:rPr>
      </w:pPr>
      <w:bookmarkStart w:id="24" w:name="_Toc7236"/>
      <w:r>
        <w:rPr>
          <w:rFonts w:hint="eastAsia" w:ascii="黑体" w:hAnsi="黑体" w:eastAsia="黑体" w:cs="宋体"/>
          <w:color w:val="000000"/>
          <w:kern w:val="0"/>
          <w:sz w:val="32"/>
          <w:szCs w:val="32"/>
          <w:highlight w:val="none"/>
        </w:rPr>
        <w:t>四、预算管理情况分析</w:t>
      </w:r>
      <w:bookmarkEnd w:id="21"/>
      <w:bookmarkEnd w:id="22"/>
      <w:bookmarkEnd w:id="23"/>
      <w:bookmarkEnd w:id="24"/>
      <w:bookmarkStart w:id="25" w:name="_Toc16709"/>
      <w:bookmarkStart w:id="26" w:name="_Toc19727"/>
      <w:bookmarkStart w:id="27" w:name="_Toc31386"/>
    </w:p>
    <w:p w14:paraId="05E8DAE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hint="eastAsia" w:ascii="楷体_GB2312" w:eastAsia="楷体_GB2312"/>
          <w:bCs/>
          <w:sz w:val="32"/>
          <w:szCs w:val="32"/>
          <w:highlight w:val="none"/>
        </w:rPr>
      </w:pPr>
      <w:bookmarkStart w:id="28" w:name="_Toc17172"/>
      <w:r>
        <w:rPr>
          <w:rFonts w:hint="eastAsia" w:ascii="楷体_GB2312" w:eastAsia="楷体_GB2312"/>
          <w:bCs/>
          <w:sz w:val="32"/>
          <w:szCs w:val="32"/>
          <w:highlight w:val="none"/>
        </w:rPr>
        <w:t>（一）财务管理</w:t>
      </w:r>
      <w:bookmarkEnd w:id="25"/>
      <w:bookmarkEnd w:id="26"/>
      <w:bookmarkEnd w:id="27"/>
      <w:bookmarkEnd w:id="28"/>
    </w:p>
    <w:p w14:paraId="7A857CB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财务制度健全性</w:t>
      </w:r>
    </w:p>
    <w:p w14:paraId="6A222FE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天安门地区管委会</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实际，以</w:t>
      </w:r>
      <w:r>
        <w:rPr>
          <w:rFonts w:hint="eastAsia" w:ascii="仿宋_GB2312" w:hAnsi="仿宋_GB2312" w:eastAsia="仿宋_GB2312" w:cs="仿宋_GB2312"/>
          <w:sz w:val="32"/>
          <w:szCs w:val="32"/>
          <w:highlight w:val="none"/>
          <w:lang w:eastAsia="zh-CN"/>
        </w:rPr>
        <w:t>加强</w:t>
      </w:r>
      <w:r>
        <w:rPr>
          <w:rFonts w:hint="eastAsia" w:ascii="仿宋_GB2312" w:hAnsi="仿宋_GB2312" w:eastAsia="仿宋_GB2312" w:cs="仿宋_GB2312"/>
          <w:sz w:val="32"/>
          <w:szCs w:val="32"/>
          <w:highlight w:val="none"/>
        </w:rPr>
        <w:t>内部控制体系建设为抓手，</w:t>
      </w:r>
      <w:r>
        <w:rPr>
          <w:rFonts w:hint="eastAsia" w:ascii="仿宋_GB2312" w:hAnsi="仿宋_GB2312" w:eastAsia="仿宋_GB2312" w:cs="仿宋_GB2312"/>
          <w:sz w:val="32"/>
          <w:szCs w:val="32"/>
          <w:highlight w:val="none"/>
          <w:lang w:val="en-US" w:eastAsia="zh-CN"/>
        </w:rPr>
        <w:t>先后修订制定了</w:t>
      </w:r>
      <w:r>
        <w:rPr>
          <w:rFonts w:hint="eastAsia" w:ascii="仿宋_GB2312" w:hAnsi="仿宋_GB2312" w:eastAsia="仿宋_GB2312" w:cs="仿宋_GB2312"/>
          <w:sz w:val="32"/>
          <w:szCs w:val="32"/>
          <w:highlight w:val="none"/>
          <w:lang w:eastAsia="zh-CN"/>
        </w:rPr>
        <w:t>合同</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CN"/>
        </w:rPr>
        <w:t>固定</w:t>
      </w:r>
      <w:r>
        <w:rPr>
          <w:rFonts w:hint="eastAsia" w:ascii="仿宋_GB2312" w:hAnsi="仿宋_GB2312" w:eastAsia="仿宋_GB2312" w:cs="仿宋_GB2312"/>
          <w:sz w:val="32"/>
          <w:szCs w:val="32"/>
          <w:highlight w:val="none"/>
        </w:rPr>
        <w:t>资产管理、</w:t>
      </w:r>
      <w:r>
        <w:rPr>
          <w:rFonts w:hint="eastAsia" w:ascii="仿宋_GB2312" w:hAnsi="仿宋_GB2312" w:eastAsia="仿宋_GB2312" w:cs="仿宋_GB2312"/>
          <w:sz w:val="32"/>
          <w:szCs w:val="32"/>
          <w:highlight w:val="none"/>
          <w:lang w:eastAsia="zh-CN"/>
        </w:rPr>
        <w:t>公务卡</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CN"/>
        </w:rPr>
        <w:t>、财务印章管理</w:t>
      </w:r>
      <w:r>
        <w:rPr>
          <w:rFonts w:hint="eastAsia" w:ascii="仿宋_GB2312" w:hAnsi="仿宋_GB2312" w:eastAsia="仿宋_GB2312" w:cs="仿宋_GB2312"/>
          <w:sz w:val="32"/>
          <w:szCs w:val="32"/>
          <w:highlight w:val="none"/>
        </w:rPr>
        <w:t>等制度</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财务管理制度</w:t>
      </w:r>
      <w:r>
        <w:rPr>
          <w:rFonts w:hint="eastAsia" w:ascii="仿宋_GB2312" w:hAnsi="仿宋_GB2312" w:eastAsia="仿宋_GB2312" w:cs="仿宋_GB2312"/>
          <w:sz w:val="32"/>
          <w:szCs w:val="32"/>
          <w:highlight w:val="none"/>
          <w:lang w:val="en-US" w:eastAsia="zh-CN"/>
        </w:rPr>
        <w:t>不断完善</w:t>
      </w:r>
      <w:r>
        <w:rPr>
          <w:rFonts w:hint="eastAsia" w:ascii="仿宋_GB2312" w:hAnsi="仿宋_GB2312" w:eastAsia="仿宋_GB2312" w:cs="仿宋_GB2312"/>
          <w:sz w:val="32"/>
          <w:szCs w:val="32"/>
          <w:highlight w:val="none"/>
        </w:rPr>
        <w:t>。</w:t>
      </w:r>
    </w:p>
    <w:p w14:paraId="379A516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2.资金使用合规性和安全性</w:t>
      </w:r>
    </w:p>
    <w:p w14:paraId="6A7717D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highlight w:val="none"/>
        </w:rPr>
      </w:pPr>
      <w:r>
        <w:rPr>
          <w:rFonts w:hint="eastAsia" w:ascii="仿宋_GB2312" w:hAnsi="宋体" w:eastAsia="仿宋_GB2312" w:cs="宋体"/>
          <w:color w:val="000000"/>
          <w:kern w:val="0"/>
          <w:sz w:val="32"/>
          <w:szCs w:val="32"/>
          <w:lang w:eastAsia="zh-CN"/>
        </w:rPr>
        <w:t>天安门地区</w:t>
      </w:r>
      <w:r>
        <w:rPr>
          <w:rFonts w:hint="eastAsia" w:ascii="仿宋_GB2312" w:hAnsi="宋体" w:eastAsia="仿宋_GB2312" w:cs="宋体"/>
          <w:color w:val="000000"/>
          <w:kern w:val="0"/>
          <w:sz w:val="32"/>
          <w:szCs w:val="32"/>
        </w:rPr>
        <w:t>管委会资金使用符合国家财经法规和财务管理制度以及有关专项资金管理办法</w:t>
      </w:r>
      <w:r>
        <w:rPr>
          <w:rFonts w:hint="eastAsia" w:ascii="仿宋_GB2312" w:hAnsi="宋体" w:eastAsia="仿宋_GB2312" w:cs="宋体"/>
          <w:color w:val="000000"/>
          <w:kern w:val="0"/>
          <w:sz w:val="32"/>
          <w:szCs w:val="32"/>
          <w:lang w:eastAsia="zh-CN"/>
        </w:rPr>
        <w:t>相关</w:t>
      </w:r>
      <w:r>
        <w:rPr>
          <w:rFonts w:hint="eastAsia" w:ascii="仿宋_GB2312" w:hAnsi="宋体" w:eastAsia="仿宋_GB2312" w:cs="宋体"/>
          <w:color w:val="000000"/>
          <w:kern w:val="0"/>
          <w:sz w:val="32"/>
          <w:szCs w:val="32"/>
        </w:rPr>
        <w:t>规定；</w:t>
      </w:r>
      <w:r>
        <w:rPr>
          <w:rFonts w:hint="eastAsia" w:ascii="仿宋_GB2312" w:hAnsi="仿宋_GB2312" w:eastAsia="仿宋_GB2312" w:cs="仿宋_GB2312"/>
          <w:sz w:val="32"/>
          <w:szCs w:val="32"/>
          <w:highlight w:val="none"/>
        </w:rPr>
        <w:t>政府采购支出、政府购买服务、“三公”经费、培训费等支出严格按预算批复执行；</w:t>
      </w:r>
      <w:r>
        <w:rPr>
          <w:rFonts w:hint="eastAsia" w:ascii="仿宋_GB2312" w:hAnsi="仿宋_GB2312" w:eastAsia="仿宋_GB2312" w:cs="仿宋_GB2312"/>
          <w:sz w:val="32"/>
          <w:szCs w:val="32"/>
          <w:highlight w:val="none"/>
          <w:lang w:eastAsia="zh-CN"/>
        </w:rPr>
        <w:t>动态优化提升</w:t>
      </w:r>
      <w:r>
        <w:rPr>
          <w:rFonts w:hint="eastAsia" w:ascii="仿宋_GB2312" w:hAnsi="仿宋_GB2312" w:eastAsia="仿宋_GB2312" w:cs="仿宋_GB2312"/>
          <w:sz w:val="32"/>
          <w:szCs w:val="32"/>
          <w:highlight w:val="none"/>
        </w:rPr>
        <w:t>内控管理平台</w:t>
      </w:r>
      <w:r>
        <w:rPr>
          <w:rFonts w:hint="eastAsia" w:ascii="仿宋_GB2312" w:hAnsi="仿宋_GB2312" w:eastAsia="仿宋_GB2312" w:cs="仿宋_GB2312"/>
          <w:sz w:val="32"/>
          <w:szCs w:val="32"/>
          <w:highlight w:val="none"/>
          <w:lang w:eastAsia="zh-CN"/>
        </w:rPr>
        <w:t>功能</w:t>
      </w:r>
      <w:r>
        <w:rPr>
          <w:rFonts w:hint="eastAsia" w:ascii="仿宋_GB2312" w:hAnsi="仿宋_GB2312" w:eastAsia="仿宋_GB2312" w:cs="仿宋_GB2312"/>
          <w:sz w:val="32"/>
          <w:szCs w:val="32"/>
          <w:highlight w:val="none"/>
        </w:rPr>
        <w:t>，通过内控制度、经费标准、业务流程的系统集成，确保实现业务资料电子化存档和业务数据留痕。在资金使用监管上，除日常财务监督外，各归口管理部门发挥职能监督作用，严格审计监督、纪检监察</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，强化财经纪律的刚性，确保资金使用合规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安全。</w:t>
      </w:r>
      <w:bookmarkStart w:id="29" w:name="_Toc12409"/>
      <w:bookmarkStart w:id="30" w:name="_Toc24440"/>
      <w:bookmarkStart w:id="31" w:name="_Toc5950"/>
    </w:p>
    <w:p w14:paraId="262E851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highlight w:val="none"/>
        </w:rPr>
      </w:pPr>
      <w:r>
        <w:rPr>
          <w:rFonts w:hint="default" w:ascii="仿宋_GB2312" w:hAnsi="仿宋_GB2312" w:eastAsia="仿宋_GB2312" w:cs="仿宋_GB2312"/>
          <w:b w:val="0"/>
          <w:bCs w:val="0"/>
          <w:sz w:val="32"/>
          <w:szCs w:val="32"/>
          <w:highlight w:val="none"/>
        </w:rPr>
        <w:t>3.会计基础信息完善性</w:t>
      </w:r>
    </w:p>
    <w:p w14:paraId="13E12BC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天安门地区管委会</w:t>
      </w:r>
      <w:r>
        <w:rPr>
          <w:rFonts w:hint="eastAsia" w:ascii="仿宋_GB2312" w:hAnsi="仿宋_GB2312" w:eastAsia="仿宋_GB2312" w:cs="仿宋_GB2312"/>
          <w:sz w:val="32"/>
          <w:szCs w:val="32"/>
          <w:highlight w:val="none"/>
        </w:rPr>
        <w:t>对各项经济业务进行会计核算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编制财务报表报告、按时整理会计档案</w:t>
      </w:r>
      <w:r>
        <w:rPr>
          <w:rFonts w:hint="eastAsia" w:ascii="仿宋_GB2312" w:hAnsi="仿宋_GB2312" w:eastAsia="仿宋_GB2312" w:cs="仿宋_GB2312"/>
          <w:sz w:val="32"/>
          <w:szCs w:val="32"/>
          <w:highlight w:val="none"/>
        </w:rPr>
        <w:t>，能够全面、清晰地反映财务信息和预算执行信息，</w:t>
      </w:r>
      <w:r>
        <w:rPr>
          <w:rFonts w:hint="eastAsia" w:ascii="仿宋_GB2312" w:hAnsi="仿宋_GB2312" w:eastAsia="仿宋_GB2312" w:cs="仿宋_GB2312"/>
          <w:sz w:val="32"/>
          <w:szCs w:val="32"/>
          <w:highlight w:val="none"/>
          <w:lang w:val="en-US" w:eastAsia="zh-CN"/>
        </w:rPr>
        <w:t>保障会计</w:t>
      </w:r>
      <w:r>
        <w:rPr>
          <w:rFonts w:hint="eastAsia" w:ascii="仿宋_GB2312" w:hAnsi="仿宋_GB2312" w:eastAsia="仿宋_GB2312" w:cs="仿宋_GB2312"/>
          <w:sz w:val="32"/>
          <w:szCs w:val="32"/>
          <w:highlight w:val="none"/>
        </w:rPr>
        <w:t>基础数据信息和会计信息资料的真实、完整和准确。</w:t>
      </w:r>
    </w:p>
    <w:p w14:paraId="3EF06BB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32" w:name="_Toc26268"/>
      <w:r>
        <w:rPr>
          <w:rFonts w:hint="eastAsia" w:ascii="楷体_GB2312" w:eastAsia="楷体_GB2312"/>
          <w:sz w:val="32"/>
          <w:szCs w:val="32"/>
          <w:highlight w:val="none"/>
        </w:rPr>
        <w:t>（二）资产管理</w:t>
      </w:r>
      <w:bookmarkEnd w:id="29"/>
      <w:bookmarkEnd w:id="30"/>
      <w:bookmarkEnd w:id="31"/>
      <w:bookmarkEnd w:id="32"/>
    </w:p>
    <w:p w14:paraId="789C50F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bookmarkStart w:id="33" w:name="_Toc23561"/>
      <w:bookmarkStart w:id="34" w:name="_Toc14210"/>
      <w:bookmarkStart w:id="35" w:name="_Toc18561"/>
      <w:r>
        <w:rPr>
          <w:rFonts w:hint="eastAsia" w:ascii="仿宋_GB2312" w:hAnsi="仿宋_GB2312" w:eastAsia="仿宋_GB2312" w:cs="仿宋_GB2312"/>
          <w:sz w:val="32"/>
          <w:szCs w:val="32"/>
          <w:highlight w:val="none"/>
          <w:lang w:eastAsia="zh-CN"/>
        </w:rPr>
        <w:t>天安门地区管委会</w:t>
      </w:r>
      <w:r>
        <w:rPr>
          <w:rFonts w:hint="eastAsia" w:ascii="仿宋_GB2312" w:hAnsi="仿宋_GB2312" w:eastAsia="仿宋_GB2312" w:cs="仿宋_GB2312"/>
          <w:sz w:val="32"/>
          <w:szCs w:val="32"/>
          <w:highlight w:val="none"/>
        </w:rPr>
        <w:t>资产管理实行统一领导、分级负责、归口管理、责任到人的原则。建立了</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财务</w:t>
      </w:r>
      <w:r>
        <w:rPr>
          <w:rFonts w:hint="eastAsia" w:ascii="仿宋_GB2312" w:hAnsi="仿宋_GB2312" w:eastAsia="仿宋_GB2312" w:cs="仿宋_GB2312"/>
          <w:sz w:val="32"/>
          <w:szCs w:val="32"/>
          <w:highlight w:val="none"/>
          <w:lang w:val="en-US" w:eastAsia="zh-CN"/>
        </w:rPr>
        <w:t>处为</w:t>
      </w:r>
      <w:r>
        <w:rPr>
          <w:rFonts w:hint="eastAsia" w:ascii="仿宋_GB2312" w:hAnsi="仿宋_GB2312" w:eastAsia="仿宋_GB2312" w:cs="仿宋_GB2312"/>
          <w:sz w:val="32"/>
          <w:szCs w:val="32"/>
          <w:highlight w:val="none"/>
        </w:rPr>
        <w:t>主管</w:t>
      </w:r>
      <w:r>
        <w:rPr>
          <w:rFonts w:hint="eastAsia" w:ascii="仿宋_GB2312" w:hAnsi="仿宋_GB2312" w:eastAsia="仿宋_GB2312" w:cs="仿宋_GB2312"/>
          <w:sz w:val="32"/>
          <w:szCs w:val="32"/>
          <w:highlight w:val="none"/>
          <w:lang w:val="en-US" w:eastAsia="zh-CN"/>
        </w:rPr>
        <w:t>部门，以</w:t>
      </w:r>
      <w:r>
        <w:rPr>
          <w:rFonts w:hint="eastAsia" w:ascii="仿宋_GB2312" w:hAnsi="仿宋_GB2312" w:eastAsia="仿宋_GB2312" w:cs="仿宋_GB2312"/>
          <w:sz w:val="32"/>
          <w:szCs w:val="32"/>
          <w:highlight w:val="none"/>
        </w:rPr>
        <w:t>综合服务中心</w:t>
      </w:r>
      <w:r>
        <w:rPr>
          <w:rFonts w:hint="eastAsia" w:ascii="仿宋_GB2312" w:hAnsi="仿宋_GB2312" w:eastAsia="仿宋_GB2312" w:cs="仿宋_GB2312"/>
          <w:sz w:val="32"/>
          <w:szCs w:val="32"/>
          <w:highlight w:val="none"/>
          <w:lang w:val="en-US" w:eastAsia="zh-CN"/>
        </w:rPr>
        <w:t>为实物主管部门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各处室为占有、使用的固定资产主责部门的管理体制，确保资产管理从统筹、组织、实施等各环节责权清晰。</w:t>
      </w:r>
      <w:r>
        <w:rPr>
          <w:rFonts w:hint="eastAsia" w:ascii="仿宋_GB2312" w:hAnsi="仿宋_GB2312" w:eastAsia="仿宋_GB2312" w:cs="仿宋_GB2312"/>
          <w:sz w:val="32"/>
          <w:szCs w:val="32"/>
          <w:highlight w:val="none"/>
          <w:lang w:val="en-US" w:eastAsia="zh-CN"/>
        </w:rPr>
        <w:t>2024年修订完善了相关制度，明确了内部管理机构及职责、固定资产配置管理、固定资产日常管理、固定资产处置管理、固定资产核算与报告、监督与问责等相关要求，进一步提升了合理配置、有效利用、规范处置固定资产的管理水平，维护资产安全完整</w:t>
      </w:r>
      <w:r>
        <w:rPr>
          <w:rFonts w:hint="eastAsia" w:ascii="仿宋_GB2312" w:hAnsi="仿宋_GB2312" w:eastAsia="仿宋_GB2312" w:cs="仿宋_GB2312"/>
          <w:sz w:val="32"/>
          <w:szCs w:val="32"/>
          <w:highlight w:val="none"/>
        </w:rPr>
        <w:t>。</w:t>
      </w:r>
    </w:p>
    <w:p w14:paraId="56A4814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36" w:name="_Toc31884"/>
      <w:r>
        <w:rPr>
          <w:rFonts w:hint="eastAsia" w:ascii="楷体_GB2312" w:eastAsia="楷体_GB2312"/>
          <w:bCs/>
          <w:sz w:val="32"/>
          <w:szCs w:val="32"/>
          <w:highlight w:val="none"/>
        </w:rPr>
        <w:t>（三）绩效管理</w:t>
      </w:r>
      <w:bookmarkEnd w:id="33"/>
      <w:bookmarkEnd w:id="34"/>
      <w:bookmarkEnd w:id="35"/>
      <w:bookmarkEnd w:id="36"/>
    </w:p>
    <w:p w14:paraId="5342368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bookmarkStart w:id="37" w:name="_Toc9710"/>
      <w:bookmarkStart w:id="38" w:name="_Toc26533"/>
      <w:bookmarkStart w:id="39" w:name="_Toc5586"/>
      <w:r>
        <w:rPr>
          <w:rFonts w:hint="eastAsia" w:ascii="仿宋_GB2312" w:hAnsi="仿宋_GB2312" w:eastAsia="仿宋_GB2312" w:cs="仿宋_GB2312"/>
          <w:sz w:val="32"/>
          <w:szCs w:val="32"/>
          <w:highlight w:val="none"/>
          <w:lang w:eastAsia="zh-CN"/>
        </w:rPr>
        <w:t>天安门地区管委会</w:t>
      </w:r>
      <w:r>
        <w:rPr>
          <w:rFonts w:hint="eastAsia" w:ascii="仿宋_GB2312" w:hAnsi="仿宋_GB2312" w:eastAsia="仿宋_GB2312" w:cs="仿宋_GB2312"/>
          <w:sz w:val="32"/>
          <w:szCs w:val="32"/>
          <w:highlight w:val="none"/>
        </w:rPr>
        <w:t>逐步建立了“预算编制有目标、预算执行有监控、预算完成有评价、评价结果有反馈、反馈结果有应用”的全过程预算绩效管理机制，</w:t>
      </w:r>
      <w:r>
        <w:rPr>
          <w:rFonts w:hint="eastAsia" w:ascii="仿宋_GB2312" w:hAnsi="仿宋_GB2312" w:eastAsia="仿宋_GB2312" w:cs="仿宋_GB2312"/>
          <w:sz w:val="32"/>
          <w:szCs w:val="32"/>
          <w:highlight w:val="none"/>
          <w:lang w:eastAsia="zh-CN"/>
        </w:rPr>
        <w:t>制定了</w:t>
      </w:r>
      <w:r>
        <w:rPr>
          <w:rFonts w:hint="eastAsia" w:ascii="仿宋_GB2312" w:hAnsi="仿宋_GB2312" w:eastAsia="仿宋_GB2312" w:cs="仿宋_GB2312"/>
          <w:sz w:val="32"/>
          <w:szCs w:val="32"/>
          <w:highlight w:val="none"/>
          <w:lang w:val="en-US" w:eastAsia="zh-CN"/>
        </w:rPr>
        <w:t>相关制度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强化“以绩效为中心、对支出结果负责、对社会公众负责”的理念，不断提高财政资金使用效率。</w:t>
      </w:r>
    </w:p>
    <w:p w14:paraId="08D0F3B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在绩效目标编制</w:t>
      </w:r>
      <w:r>
        <w:rPr>
          <w:rFonts w:hint="eastAsia"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rPr>
        <w:t>，不断强化部门及项目负责人的预算绩效管理意识，将202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年部门预算项目全部纳入绩效目标填报范围，按时完成了项目绩效目标申报表的审核工作。</w:t>
      </w:r>
    </w:p>
    <w:p w14:paraId="67B1AFE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在绩效运行监控</w:t>
      </w:r>
      <w:r>
        <w:rPr>
          <w:rFonts w:hint="eastAsia"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天安门地区管委会对2024年1月至6月项目支出绩效运行实施情况开展绩效监控</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对项目实施中存在的具体问题及时采取纠偏措施</w:t>
      </w:r>
      <w:r>
        <w:rPr>
          <w:rFonts w:hint="eastAsia" w:ascii="仿宋_GB2312" w:hAnsi="仿宋_GB2312" w:eastAsia="仿宋_GB2312" w:cs="仿宋_GB2312"/>
          <w:sz w:val="32"/>
          <w:szCs w:val="32"/>
          <w:highlight w:val="none"/>
          <w:lang w:eastAsia="zh-CN"/>
        </w:rPr>
        <w:t>；同时，运用目标比较法，将绩效实现情况与预期绩效目标进行比较，对目标完成、预算执行、组织实施等情况进行分析，</w:t>
      </w:r>
      <w:r>
        <w:rPr>
          <w:rFonts w:hint="eastAsia" w:ascii="仿宋_GB2312" w:hAnsi="仿宋_GB2312" w:eastAsia="仿宋_GB2312" w:cs="仿宋_GB2312"/>
          <w:sz w:val="32"/>
          <w:szCs w:val="32"/>
          <w:highlight w:val="none"/>
        </w:rPr>
        <w:t>未出现绩效产出与绩效目标严重偏离的现象。</w:t>
      </w:r>
    </w:p>
    <w:p w14:paraId="123F93D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在预算支出绩效评价</w:t>
      </w:r>
      <w:r>
        <w:rPr>
          <w:rFonts w:hint="eastAsia" w:ascii="仿宋_GB2312" w:hAnsi="仿宋_GB2312" w:eastAsia="仿宋_GB2312" w:cs="仿宋_GB2312"/>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天安门地区管委会</w:t>
      </w:r>
      <w:r>
        <w:rPr>
          <w:rFonts w:hint="eastAsia" w:ascii="仿宋_GB2312" w:hAnsi="仿宋_GB2312" w:eastAsia="仿宋_GB2312" w:cs="仿宋_GB2312"/>
          <w:color w:val="auto"/>
          <w:sz w:val="32"/>
          <w:szCs w:val="32"/>
          <w:highlight w:val="none"/>
        </w:rPr>
        <w:t>对纳入部门预算管理的所有填报绩效目标的项目开展</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绩效自评工作，实现绩效自评“全覆盖”，</w:t>
      </w:r>
      <w:r>
        <w:rPr>
          <w:rFonts w:hint="eastAsia" w:ascii="仿宋_GB2312" w:hAnsi="仿宋_GB2312" w:eastAsia="仿宋_GB2312" w:cs="仿宋_GB2312"/>
          <w:color w:val="auto"/>
          <w:sz w:val="32"/>
          <w:szCs w:val="32"/>
          <w:highlight w:val="none"/>
          <w:lang w:eastAsia="zh-CN"/>
        </w:rPr>
        <w:t>全方位把握部门整体预算执行、绩效目标实现和预算管理情况，及时形成并提交了评价成果</w:t>
      </w:r>
      <w:r>
        <w:rPr>
          <w:rFonts w:hint="eastAsia" w:ascii="仿宋_GB2312" w:hAnsi="仿宋_GB2312" w:eastAsia="仿宋_GB2312" w:cs="仿宋_GB2312"/>
          <w:color w:val="auto"/>
          <w:sz w:val="32"/>
          <w:szCs w:val="32"/>
          <w:highlight w:val="none"/>
        </w:rPr>
        <w:t>。</w:t>
      </w:r>
    </w:p>
    <w:p w14:paraId="2E1DAA8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color w:val="0000FF"/>
          <w:sz w:val="32"/>
          <w:szCs w:val="32"/>
          <w:highlight w:val="none"/>
        </w:rPr>
      </w:pPr>
      <w:r>
        <w:rPr>
          <w:rFonts w:hint="eastAsia" w:ascii="仿宋_GB2312" w:hAnsi="宋体" w:eastAsia="仿宋_GB2312" w:cs="宋体"/>
          <w:color w:val="auto"/>
          <w:kern w:val="0"/>
          <w:sz w:val="32"/>
          <w:szCs w:val="32"/>
          <w:highlight w:val="none"/>
          <w:lang w:val="en-US" w:eastAsia="zh-CN"/>
        </w:rPr>
        <w:t>在</w:t>
      </w:r>
      <w:r>
        <w:rPr>
          <w:rFonts w:hint="eastAsia" w:ascii="仿宋_GB2312" w:hAnsi="宋体" w:eastAsia="仿宋_GB2312" w:cs="宋体"/>
          <w:color w:val="auto"/>
          <w:kern w:val="0"/>
          <w:sz w:val="32"/>
          <w:szCs w:val="32"/>
          <w:highlight w:val="none"/>
        </w:rPr>
        <w:t>成本预算绩效分析</w:t>
      </w:r>
      <w:r>
        <w:rPr>
          <w:rFonts w:hint="eastAsia" w:ascii="仿宋_GB2312" w:hAnsi="宋体" w:eastAsia="仿宋_GB2312" w:cs="宋体"/>
          <w:color w:val="auto"/>
          <w:kern w:val="0"/>
          <w:sz w:val="32"/>
          <w:szCs w:val="32"/>
          <w:highlight w:val="none"/>
          <w:lang w:val="en-US" w:eastAsia="zh-CN"/>
        </w:rPr>
        <w:t>方面</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从项目的投入成本、产出质量、效益效果三个维度，建立项目成本预算绩效分析指标体系和标准体系，针对项目存在问题提出改进措施。</w:t>
      </w:r>
    </w:p>
    <w:p w14:paraId="22EA836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40" w:name="_Toc8144"/>
      <w:r>
        <w:rPr>
          <w:rFonts w:hint="eastAsia" w:ascii="楷体_GB2312" w:eastAsia="楷体_GB2312"/>
          <w:bCs/>
          <w:sz w:val="32"/>
          <w:szCs w:val="32"/>
          <w:highlight w:val="none"/>
        </w:rPr>
        <w:t>（四）结转结余率</w:t>
      </w:r>
      <w:bookmarkEnd w:id="37"/>
      <w:bookmarkEnd w:id="38"/>
      <w:bookmarkEnd w:id="39"/>
      <w:bookmarkEnd w:id="40"/>
    </w:p>
    <w:p w14:paraId="74807BF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bookmarkStart w:id="41" w:name="_Toc22969"/>
      <w:bookmarkStart w:id="42" w:name="_Toc2548"/>
      <w:bookmarkStart w:id="43" w:name="_Toc14692"/>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年年末结转结余4,162.2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年支出预算 30,114.66万元，结转结余率为</w:t>
      </w:r>
      <w:r>
        <w:rPr>
          <w:rFonts w:hint="eastAsia" w:ascii="仿宋_GB2312" w:hAnsi="仿宋_GB2312" w:eastAsia="仿宋_GB2312" w:cs="仿宋_GB2312"/>
          <w:sz w:val="32"/>
          <w:szCs w:val="32"/>
          <w:highlight w:val="none"/>
          <w:lang w:val="en-US" w:eastAsia="zh-CN"/>
        </w:rPr>
        <w:t>13.82</w:t>
      </w:r>
      <w:r>
        <w:rPr>
          <w:rFonts w:hint="eastAsia" w:ascii="仿宋_GB2312" w:hAnsi="仿宋_GB2312" w:eastAsia="仿宋_GB2312" w:cs="仿宋_GB2312"/>
          <w:sz w:val="32"/>
          <w:szCs w:val="32"/>
          <w:highlight w:val="none"/>
        </w:rPr>
        <w:t>%。</w:t>
      </w:r>
    </w:p>
    <w:p w14:paraId="3104D4B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44" w:name="_Toc4796"/>
      <w:r>
        <w:rPr>
          <w:rFonts w:hint="eastAsia" w:ascii="楷体_GB2312" w:eastAsia="楷体_GB2312"/>
          <w:bCs/>
          <w:sz w:val="32"/>
          <w:szCs w:val="32"/>
          <w:highlight w:val="none"/>
        </w:rPr>
        <w:t>（五）部门预决算差异率</w:t>
      </w:r>
      <w:bookmarkEnd w:id="41"/>
      <w:bookmarkEnd w:id="42"/>
      <w:bookmarkEnd w:id="43"/>
      <w:bookmarkEnd w:id="44"/>
    </w:p>
    <w:p w14:paraId="629CBF9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bookmarkStart w:id="45" w:name="_Toc24471"/>
      <w:bookmarkStart w:id="46" w:name="_Toc22801"/>
      <w:bookmarkStart w:id="47" w:name="_Toc17300"/>
      <w:r>
        <w:rPr>
          <w:rFonts w:hint="eastAsia" w:ascii="仿宋_GB2312" w:hAnsi="仿宋_GB2312" w:eastAsia="仿宋_GB2312" w:cs="仿宋_GB2312"/>
          <w:sz w:val="32"/>
          <w:szCs w:val="32"/>
          <w:highlight w:val="none"/>
          <w:lang w:eastAsia="zh-CN"/>
        </w:rPr>
        <w:t>天安门地区管委会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年年初预算22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098.33万元，其中：基本支出11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480.45万元，项目支出10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617.88万元。</w:t>
      </w:r>
    </w:p>
    <w:p w14:paraId="389C21E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年度决算25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952.43万元，其中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基本支出11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084.28万元，项目支出14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868.15万元。</w:t>
      </w:r>
    </w:p>
    <w:p w14:paraId="793CB1B4">
      <w:pPr>
        <w:keepNext w:val="0"/>
        <w:keepLines w:val="0"/>
        <w:pageBreakBefore w:val="0"/>
        <w:kinsoku/>
        <w:wordWrap/>
        <w:overflowPunct/>
        <w:topLinePunct w:val="0"/>
        <w:autoSpaceDE/>
        <w:autoSpaceDN/>
        <w:bidi w:val="0"/>
        <w:snapToGrid w:val="0"/>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预决算差异</w:t>
      </w:r>
      <w:r>
        <w:rPr>
          <w:rFonts w:hint="eastAsia" w:ascii="仿宋_GB2312" w:hAnsi="仿宋_GB2312" w:eastAsia="仿宋_GB2312" w:cs="仿宋_GB2312"/>
          <w:sz w:val="32"/>
          <w:szCs w:val="32"/>
          <w:highlight w:val="none"/>
          <w:lang w:val="en-US" w:eastAsia="zh-CN"/>
        </w:rPr>
        <w:t>3,854.10</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w:t>
      </w:r>
      <w:r>
        <w:rPr>
          <w:rFonts w:hint="eastAsia" w:ascii="仿宋_GB2312" w:hAnsi="宋体" w:eastAsia="仿宋_GB2312"/>
          <w:color w:val="auto"/>
          <w:sz w:val="32"/>
          <w:szCs w:val="32"/>
          <w:highlight w:val="none"/>
          <w:lang w:eastAsia="zh-CN"/>
        </w:rPr>
        <w:t>预决算</w:t>
      </w:r>
      <w:r>
        <w:rPr>
          <w:rFonts w:hint="eastAsia" w:ascii="仿宋_GB2312" w:hAnsi="仿宋_GB2312" w:eastAsia="仿宋_GB2312" w:cs="仿宋_GB2312"/>
          <w:sz w:val="32"/>
          <w:szCs w:val="32"/>
          <w:highlight w:val="none"/>
        </w:rPr>
        <w:t>差异率为</w:t>
      </w:r>
      <w:r>
        <w:rPr>
          <w:rFonts w:hint="eastAsia" w:ascii="仿宋_GB2312" w:hAnsi="仿宋_GB2312" w:eastAsia="仿宋_GB2312" w:cs="仿宋_GB2312"/>
          <w:sz w:val="32"/>
          <w:szCs w:val="32"/>
          <w:highlight w:val="none"/>
          <w:lang w:val="en-US" w:eastAsia="zh-CN"/>
        </w:rPr>
        <w:t>17.44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Times New Roman"/>
          <w:color w:val="auto"/>
          <w:sz w:val="32"/>
          <w:szCs w:val="32"/>
          <w:highlight w:val="none"/>
          <w:lang w:val="en-US" w:eastAsia="zh-CN"/>
        </w:rPr>
        <w:t>主要原因为</w:t>
      </w:r>
      <w:r>
        <w:rPr>
          <w:rFonts w:hint="eastAsia" w:ascii="仿宋_GB2312" w:hAnsi="宋体" w:eastAsia="仿宋_GB2312"/>
          <w:color w:val="auto"/>
          <w:sz w:val="32"/>
          <w:szCs w:val="32"/>
          <w:highlight w:val="none"/>
          <w:lang w:eastAsia="zh-CN"/>
        </w:rPr>
        <w:t>根据工作任务要求追加项目经费。</w:t>
      </w:r>
    </w:p>
    <w:p w14:paraId="70C4B5D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0"/>
        <w:rPr>
          <w:rFonts w:hint="eastAsia" w:ascii="黑体" w:hAnsi="黑体" w:eastAsia="黑体" w:cs="宋体"/>
          <w:color w:val="000000"/>
          <w:kern w:val="0"/>
          <w:sz w:val="32"/>
          <w:szCs w:val="32"/>
          <w:highlight w:val="none"/>
        </w:rPr>
      </w:pPr>
      <w:bookmarkStart w:id="48" w:name="_Toc16380"/>
      <w:r>
        <w:rPr>
          <w:rFonts w:hint="eastAsia" w:ascii="黑体" w:hAnsi="黑体" w:eastAsia="黑体" w:cs="宋体"/>
          <w:color w:val="000000"/>
          <w:kern w:val="0"/>
          <w:sz w:val="32"/>
          <w:szCs w:val="32"/>
          <w:highlight w:val="none"/>
        </w:rPr>
        <w:t>五、总体评价结论</w:t>
      </w:r>
      <w:bookmarkEnd w:id="45"/>
      <w:bookmarkEnd w:id="46"/>
      <w:bookmarkEnd w:id="47"/>
      <w:bookmarkEnd w:id="48"/>
    </w:p>
    <w:p w14:paraId="5E76668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49" w:name="_Toc19987"/>
      <w:bookmarkStart w:id="50" w:name="_Toc19197"/>
      <w:bookmarkStart w:id="51" w:name="_Toc28469"/>
      <w:bookmarkStart w:id="52" w:name="_Toc4512"/>
      <w:r>
        <w:rPr>
          <w:rFonts w:hint="eastAsia" w:ascii="楷体_GB2312" w:eastAsia="楷体_GB2312"/>
          <w:bCs/>
          <w:sz w:val="32"/>
          <w:szCs w:val="32"/>
          <w:highlight w:val="none"/>
        </w:rPr>
        <w:t>（一）评价得分情况</w:t>
      </w:r>
      <w:bookmarkEnd w:id="49"/>
      <w:bookmarkEnd w:id="50"/>
      <w:bookmarkEnd w:id="51"/>
      <w:bookmarkEnd w:id="52"/>
    </w:p>
    <w:p w14:paraId="401652D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baseline"/>
        <w:rPr>
          <w:rFonts w:hint="eastAsia" w:ascii="宋体" w:hAnsi="宋体" w:eastAsia="宋体" w:cs="宋体"/>
          <w:b/>
          <w:bCs/>
          <w:sz w:val="28"/>
          <w:szCs w:val="28"/>
          <w:highlight w:val="yellow"/>
        </w:rPr>
      </w:pPr>
      <w:r>
        <w:rPr>
          <w:rFonts w:hint="eastAsia" w:ascii="仿宋_GB2312" w:hAnsi="仿宋_GB2312" w:eastAsia="仿宋_GB2312" w:cs="仿宋_GB2312"/>
          <w:sz w:val="32"/>
          <w:szCs w:val="32"/>
          <w:highlight w:val="none"/>
        </w:rPr>
        <w:t>经过综合评价，</w:t>
      </w:r>
      <w:r>
        <w:rPr>
          <w:rFonts w:hint="eastAsia" w:ascii="仿宋_GB2312" w:hAnsi="仿宋_GB2312" w:eastAsia="仿宋_GB2312" w:cs="仿宋_GB2312"/>
          <w:sz w:val="32"/>
          <w:szCs w:val="32"/>
          <w:highlight w:val="none"/>
          <w:lang w:eastAsia="zh-CN"/>
        </w:rPr>
        <w:t>天安门地区管委会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年度部门整体支出绩效评价综合得分</w:t>
      </w:r>
      <w:r>
        <w:rPr>
          <w:rFonts w:hint="eastAsia" w:ascii="仿宋_GB2312" w:hAnsi="仿宋_GB2312" w:eastAsia="仿宋_GB2312" w:cs="仿宋_GB2312"/>
          <w:sz w:val="32"/>
          <w:szCs w:val="32"/>
          <w:highlight w:val="none"/>
          <w:lang w:val="en-US" w:eastAsia="zh-CN"/>
        </w:rPr>
        <w:t>93.09</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val="en-US" w:eastAsia="zh-CN"/>
        </w:rPr>
        <w:t>,得分情况详见表2</w:t>
      </w:r>
      <w:r>
        <w:rPr>
          <w:rFonts w:hint="eastAsia" w:ascii="仿宋_GB2312" w:hAnsi="仿宋_GB2312" w:eastAsia="仿宋_GB2312" w:cs="仿宋_GB2312"/>
          <w:sz w:val="32"/>
          <w:szCs w:val="32"/>
          <w:highlight w:val="none"/>
        </w:rPr>
        <w:t>。</w:t>
      </w:r>
    </w:p>
    <w:p w14:paraId="5E27BD9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000000"/>
          <w:kern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rPr>
        <w:t>表2 部门整体支出绩效评价得分表</w:t>
      </w:r>
    </w:p>
    <w:tbl>
      <w:tblPr>
        <w:tblStyle w:val="24"/>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3051"/>
        <w:gridCol w:w="2716"/>
        <w:gridCol w:w="2718"/>
      </w:tblGrid>
      <w:tr w14:paraId="1BBE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567" w:hRule="atLeast"/>
          <w:tblHeader/>
          <w:jc w:val="center"/>
        </w:trPr>
        <w:tc>
          <w:tcPr>
            <w:tcW w:w="3052" w:type="dxa"/>
            <w:shd w:val="clear" w:color="auto" w:fill="auto"/>
            <w:vAlign w:val="center"/>
          </w:tcPr>
          <w:p w14:paraId="0F1FDA54">
            <w:pPr>
              <w:snapToGrid w:val="0"/>
              <w:jc w:val="center"/>
              <w:textAlignment w:val="baseline"/>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评价内容</w:t>
            </w:r>
          </w:p>
        </w:tc>
        <w:tc>
          <w:tcPr>
            <w:tcW w:w="2715" w:type="dxa"/>
            <w:shd w:val="clear" w:color="auto" w:fill="auto"/>
            <w:vAlign w:val="center"/>
          </w:tcPr>
          <w:p w14:paraId="6BEA7453">
            <w:pPr>
              <w:snapToGrid w:val="0"/>
              <w:jc w:val="center"/>
              <w:textAlignment w:val="baseline"/>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分值</w:t>
            </w:r>
          </w:p>
        </w:tc>
        <w:tc>
          <w:tcPr>
            <w:tcW w:w="2718" w:type="dxa"/>
            <w:shd w:val="clear" w:color="auto" w:fill="auto"/>
            <w:vAlign w:val="center"/>
          </w:tcPr>
          <w:p w14:paraId="283BE7D7">
            <w:pPr>
              <w:snapToGrid w:val="0"/>
              <w:jc w:val="center"/>
              <w:textAlignment w:val="baseline"/>
              <w:rPr>
                <w:rFonts w:hint="default" w:ascii="Times New Roman" w:hAnsi="Times New Roman" w:eastAsia="宋体" w:cs="Times New Roman"/>
                <w:b/>
                <w:sz w:val="24"/>
                <w:szCs w:val="24"/>
                <w:highlight w:val="yellow"/>
              </w:rPr>
            </w:pPr>
            <w:r>
              <w:rPr>
                <w:rFonts w:hint="default" w:ascii="Times New Roman" w:hAnsi="Times New Roman" w:eastAsia="宋体" w:cs="Times New Roman"/>
                <w:b/>
                <w:sz w:val="24"/>
                <w:szCs w:val="24"/>
                <w:highlight w:val="none"/>
              </w:rPr>
              <w:t>评价得分</w:t>
            </w:r>
          </w:p>
        </w:tc>
      </w:tr>
      <w:tr w14:paraId="7AE4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shd w:val="clear" w:color="auto" w:fill="auto"/>
            <w:vAlign w:val="center"/>
          </w:tcPr>
          <w:p w14:paraId="0485D557">
            <w:pPr>
              <w:pStyle w:val="6"/>
              <w:snapToGrid w:val="0"/>
              <w:ind w:firstLine="0"/>
              <w:jc w:val="center"/>
              <w:textAlignment w:val="baseline"/>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当年预算执行情况</w:t>
            </w:r>
          </w:p>
        </w:tc>
        <w:tc>
          <w:tcPr>
            <w:tcW w:w="2715" w:type="dxa"/>
            <w:shd w:val="clear" w:color="auto" w:fill="auto"/>
            <w:vAlign w:val="center"/>
          </w:tcPr>
          <w:p w14:paraId="7FD7A1D1">
            <w:pPr>
              <w:snapToGrid w:val="0"/>
              <w:jc w:val="center"/>
              <w:textAlignment w:val="baseline"/>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20.00</w:t>
            </w:r>
          </w:p>
        </w:tc>
        <w:tc>
          <w:tcPr>
            <w:tcW w:w="2718" w:type="dxa"/>
            <w:shd w:val="clear" w:color="auto" w:fill="auto"/>
            <w:vAlign w:val="center"/>
          </w:tcPr>
          <w:p w14:paraId="5AD518BF">
            <w:pPr>
              <w:snapToGrid w:val="0"/>
              <w:jc w:val="center"/>
              <w:textAlignment w:val="baseline"/>
              <w:rPr>
                <w:rFonts w:hint="default"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lang w:val="en-US" w:eastAsia="zh-CN"/>
              </w:rPr>
              <w:t>17.33</w:t>
            </w:r>
          </w:p>
        </w:tc>
      </w:tr>
      <w:tr w14:paraId="391B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shd w:val="clear" w:color="auto" w:fill="auto"/>
            <w:vAlign w:val="center"/>
          </w:tcPr>
          <w:p w14:paraId="37D5CBF4">
            <w:pPr>
              <w:snapToGrid w:val="0"/>
              <w:jc w:val="center"/>
              <w:textAlignment w:val="baseline"/>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整体绩效目标实现情况</w:t>
            </w:r>
          </w:p>
        </w:tc>
        <w:tc>
          <w:tcPr>
            <w:tcW w:w="2715" w:type="dxa"/>
            <w:shd w:val="clear" w:color="auto" w:fill="auto"/>
            <w:vAlign w:val="center"/>
          </w:tcPr>
          <w:p w14:paraId="33F9784D">
            <w:pPr>
              <w:snapToGrid w:val="0"/>
              <w:jc w:val="center"/>
              <w:textAlignment w:val="baseline"/>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60.00</w:t>
            </w:r>
          </w:p>
        </w:tc>
        <w:tc>
          <w:tcPr>
            <w:tcW w:w="2718" w:type="dxa"/>
            <w:shd w:val="clear" w:color="auto" w:fill="auto"/>
            <w:vAlign w:val="center"/>
          </w:tcPr>
          <w:p w14:paraId="257792C7">
            <w:pPr>
              <w:snapToGrid w:val="0"/>
              <w:jc w:val="center"/>
              <w:textAlignment w:val="baseline"/>
              <w:rPr>
                <w:rFonts w:hint="default"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lang w:val="en-US" w:eastAsia="zh-CN"/>
              </w:rPr>
              <w:t>59.00</w:t>
            </w:r>
          </w:p>
        </w:tc>
      </w:tr>
      <w:tr w14:paraId="3E74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shd w:val="clear" w:color="auto" w:fill="auto"/>
            <w:vAlign w:val="center"/>
          </w:tcPr>
          <w:p w14:paraId="3560AB00">
            <w:pPr>
              <w:snapToGrid w:val="0"/>
              <w:jc w:val="center"/>
              <w:textAlignment w:val="baseline"/>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预算管理情况</w:t>
            </w:r>
          </w:p>
        </w:tc>
        <w:tc>
          <w:tcPr>
            <w:tcW w:w="2715" w:type="dxa"/>
            <w:shd w:val="clear" w:color="auto" w:fill="auto"/>
            <w:vAlign w:val="center"/>
          </w:tcPr>
          <w:p w14:paraId="09511441">
            <w:pPr>
              <w:snapToGrid w:val="0"/>
              <w:jc w:val="center"/>
              <w:textAlignment w:val="baseline"/>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20.00</w:t>
            </w:r>
          </w:p>
        </w:tc>
        <w:tc>
          <w:tcPr>
            <w:tcW w:w="2718" w:type="dxa"/>
            <w:shd w:val="clear" w:color="auto" w:fill="auto"/>
            <w:vAlign w:val="center"/>
          </w:tcPr>
          <w:p w14:paraId="731CAFD4">
            <w:pPr>
              <w:snapToGrid w:val="0"/>
              <w:jc w:val="center"/>
              <w:textAlignment w:val="baseline"/>
              <w:rPr>
                <w:rFonts w:hint="default"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lang w:val="en-US" w:eastAsia="zh-CN"/>
              </w:rPr>
              <w:t>16.76</w:t>
            </w:r>
          </w:p>
        </w:tc>
      </w:tr>
      <w:tr w14:paraId="0FD4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052" w:type="dxa"/>
            <w:shd w:val="clear" w:color="auto" w:fill="auto"/>
            <w:vAlign w:val="center"/>
          </w:tcPr>
          <w:p w14:paraId="1DC698B3">
            <w:pPr>
              <w:snapToGrid w:val="0"/>
              <w:jc w:val="center"/>
              <w:textAlignment w:val="baseline"/>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总分合计</w:t>
            </w:r>
          </w:p>
        </w:tc>
        <w:tc>
          <w:tcPr>
            <w:tcW w:w="2716" w:type="dxa"/>
            <w:shd w:val="clear" w:color="auto" w:fill="auto"/>
            <w:vAlign w:val="center"/>
          </w:tcPr>
          <w:p w14:paraId="06955D6F">
            <w:pPr>
              <w:snapToGrid w:val="0"/>
              <w:jc w:val="center"/>
              <w:textAlignment w:val="baseline"/>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100.00</w:t>
            </w:r>
          </w:p>
        </w:tc>
        <w:tc>
          <w:tcPr>
            <w:tcW w:w="2717" w:type="dxa"/>
            <w:shd w:val="clear" w:color="auto" w:fill="auto"/>
            <w:vAlign w:val="center"/>
          </w:tcPr>
          <w:p w14:paraId="6527FC91">
            <w:pPr>
              <w:snapToGrid w:val="0"/>
              <w:jc w:val="center"/>
              <w:textAlignment w:val="baseline"/>
              <w:rPr>
                <w:rFonts w:hint="default"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lang w:val="en-US" w:eastAsia="zh-CN"/>
              </w:rPr>
              <w:t>93.09</w:t>
            </w:r>
          </w:p>
        </w:tc>
      </w:tr>
    </w:tbl>
    <w:p w14:paraId="03865E15">
      <w:pPr>
        <w:snapToGrid w:val="0"/>
        <w:textAlignment w:val="baseline"/>
        <w:rPr>
          <w:rFonts w:ascii="仿宋_GB2312" w:hAnsi="仿宋_GB2312" w:eastAsia="仿宋_GB2312" w:cs="仿宋_GB2312"/>
          <w:sz w:val="28"/>
          <w:szCs w:val="28"/>
          <w:highlight w:val="yellow"/>
        </w:rPr>
      </w:pPr>
    </w:p>
    <w:p w14:paraId="53E1B9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1"/>
        <w:rPr>
          <w:rFonts w:ascii="楷体_GB2312" w:eastAsia="楷体_GB2312"/>
          <w:bCs/>
          <w:sz w:val="32"/>
          <w:szCs w:val="32"/>
          <w:highlight w:val="none"/>
        </w:rPr>
      </w:pPr>
      <w:bookmarkStart w:id="53" w:name="_Toc3641"/>
      <w:bookmarkStart w:id="54" w:name="_Toc23274"/>
      <w:bookmarkStart w:id="55" w:name="_Toc3164"/>
      <w:bookmarkStart w:id="56" w:name="_Toc5651"/>
      <w:r>
        <w:rPr>
          <w:rFonts w:hint="eastAsia" w:ascii="楷体_GB2312" w:eastAsia="楷体_GB2312"/>
          <w:bCs/>
          <w:sz w:val="32"/>
          <w:szCs w:val="32"/>
          <w:highlight w:val="none"/>
        </w:rPr>
        <w:t>（二）存在的问题及原因分析</w:t>
      </w:r>
      <w:bookmarkEnd w:id="53"/>
      <w:bookmarkEnd w:id="54"/>
      <w:bookmarkEnd w:id="55"/>
      <w:bookmarkEnd w:id="56"/>
    </w:p>
    <w:p w14:paraId="4D0048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highlight w:val="none"/>
          <w:lang w:val="en-US" w:eastAsia="zh-CN"/>
        </w:rPr>
      </w:pPr>
      <w:bookmarkStart w:id="57" w:name="_Toc9365"/>
      <w:bookmarkStart w:id="58" w:name="_Toc22090"/>
      <w:bookmarkStart w:id="59" w:name="_Toc22084"/>
      <w:r>
        <w:rPr>
          <w:rFonts w:hint="eastAsia" w:ascii="仿宋_GB2312" w:hAnsi="仿宋_GB2312" w:eastAsia="仿宋_GB2312" w:cs="仿宋_GB2312"/>
          <w:b w:val="0"/>
          <w:bCs w:val="0"/>
          <w:sz w:val="32"/>
          <w:szCs w:val="32"/>
          <w:highlight w:val="none"/>
          <w:lang w:val="en-US" w:eastAsia="zh-CN"/>
        </w:rPr>
        <w:t>1.绩效指标设置的科学性还需提高。部门整体绩效指标设置不够全面，针对10项部门职责，仅设置4项产出数量指标，未能全面体现部门职责及年度重点工作任务；个别项目支出绩效指标设置不够准确、合理，项目质量指标未与数量指标对应；部分项目数量指标值设置偏低，未充分体现绩效目标及指标对预算编制、执行的引导约束和控制作用。</w:t>
      </w:r>
    </w:p>
    <w:p w14:paraId="2B303D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年度预算编制的精准性有待增强。2024年，部门资金结转结余率及预决算差异率较上一年度均有所增加，除因年中新增重点工作任务等客观原因外，也体现出年初预算编制还不够精细，围绕年度重点工作任务和项目实施计划科学测算资金需求、深入开展前期调研论证等工作做得还不到位。</w:t>
      </w:r>
    </w:p>
    <w:p w14:paraId="468C5A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0"/>
        <w:rPr>
          <w:rFonts w:hint="eastAsia" w:ascii="黑体" w:hAnsi="黑体" w:eastAsia="黑体" w:cs="宋体"/>
          <w:color w:val="000000"/>
          <w:kern w:val="0"/>
          <w:sz w:val="32"/>
          <w:szCs w:val="32"/>
          <w:highlight w:val="none"/>
        </w:rPr>
      </w:pPr>
      <w:bookmarkStart w:id="60" w:name="_Toc2769"/>
    </w:p>
    <w:p w14:paraId="1380DC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0"/>
        <w:rPr>
          <w:rFonts w:ascii="黑体" w:hAnsi="黑体" w:eastAsia="黑体" w:cs="黑体"/>
          <w:sz w:val="32"/>
          <w:szCs w:val="32"/>
          <w:highlight w:val="none"/>
        </w:rPr>
      </w:pPr>
      <w:r>
        <w:rPr>
          <w:rFonts w:hint="eastAsia" w:ascii="黑体" w:hAnsi="黑体" w:eastAsia="黑体" w:cs="宋体"/>
          <w:color w:val="000000"/>
          <w:kern w:val="0"/>
          <w:sz w:val="32"/>
          <w:szCs w:val="32"/>
          <w:highlight w:val="none"/>
        </w:rPr>
        <w:t>六、措施建议</w:t>
      </w:r>
      <w:bookmarkEnd w:id="57"/>
      <w:bookmarkEnd w:id="58"/>
      <w:bookmarkEnd w:id="59"/>
      <w:bookmarkEnd w:id="60"/>
    </w:p>
    <w:p w14:paraId="2908C4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cs="仿宋_GB2312"/>
          <w:color w:val="000000"/>
          <w:kern w:val="0"/>
          <w:sz w:val="32"/>
          <w:szCs w:val="32"/>
          <w:highlight w:val="none"/>
          <w:lang w:val="en-US" w:eastAsia="zh-CN" w:bidi="ar"/>
        </w:rPr>
        <w:t>1.</w:t>
      </w:r>
      <w:r>
        <w:rPr>
          <w:rFonts w:hint="eastAsia" w:ascii="仿宋_GB2312" w:hAnsi="仿宋_GB2312" w:eastAsia="仿宋_GB2312" w:cs="仿宋_GB2312"/>
          <w:b w:val="0"/>
          <w:bCs w:val="0"/>
          <w:sz w:val="32"/>
          <w:szCs w:val="32"/>
          <w:highlight w:val="none"/>
          <w:lang w:val="en-US" w:eastAsia="zh-CN"/>
        </w:rPr>
        <w:t>加强对绩效指标体系的理解，科学合理设置项目绩效目标。</w:t>
      </w:r>
      <w:r>
        <w:rPr>
          <w:rFonts w:hint="eastAsia" w:ascii="仿宋_GB2312" w:eastAsia="仿宋_GB2312" w:cs="仿宋_GB2312"/>
          <w:color w:val="000000"/>
          <w:kern w:val="0"/>
          <w:sz w:val="32"/>
          <w:szCs w:val="32"/>
          <w:highlight w:val="none"/>
          <w:lang w:bidi="ar"/>
        </w:rPr>
        <w:t>依据相关政策、</w:t>
      </w:r>
      <w:r>
        <w:rPr>
          <w:rFonts w:hint="eastAsia" w:ascii="仿宋_GB2312" w:hAnsi="仿宋_GB2312" w:eastAsia="仿宋_GB2312" w:cs="仿宋_GB2312"/>
          <w:b w:val="0"/>
          <w:bCs w:val="0"/>
          <w:sz w:val="32"/>
          <w:szCs w:val="32"/>
          <w:highlight w:val="none"/>
          <w:lang w:val="en-US" w:eastAsia="zh-CN"/>
        </w:rPr>
        <w:t>部门职责、年度重点工作任务、</w:t>
      </w:r>
      <w:r>
        <w:rPr>
          <w:rFonts w:hint="eastAsia" w:ascii="仿宋_GB2312" w:eastAsia="仿宋_GB2312" w:cs="仿宋_GB2312"/>
          <w:color w:val="000000"/>
          <w:kern w:val="0"/>
          <w:sz w:val="32"/>
          <w:szCs w:val="32"/>
          <w:highlight w:val="none"/>
          <w:lang w:bidi="ar"/>
        </w:rPr>
        <w:t>项目实施内容及实施计划，</w:t>
      </w:r>
      <w:r>
        <w:rPr>
          <w:rFonts w:hint="eastAsia" w:ascii="仿宋_GB2312" w:eastAsia="仿宋_GB2312" w:cs="仿宋_GB2312"/>
          <w:sz w:val="32"/>
          <w:szCs w:val="32"/>
          <w:highlight w:val="none"/>
          <w:lang w:bidi="ar"/>
        </w:rPr>
        <w:t>提炼核心指标，合理</w:t>
      </w:r>
      <w:r>
        <w:rPr>
          <w:rFonts w:hint="eastAsia" w:ascii="仿宋_GB2312" w:eastAsia="仿宋_GB2312" w:cs="仿宋_GB2312"/>
          <w:color w:val="000000"/>
          <w:kern w:val="0"/>
          <w:sz w:val="32"/>
          <w:szCs w:val="32"/>
          <w:highlight w:val="none"/>
          <w:lang w:bidi="ar"/>
        </w:rPr>
        <w:t>设置产出指标、效益指标、满意度指标及成本指标</w:t>
      </w:r>
      <w:r>
        <w:rPr>
          <w:rFonts w:hint="eastAsia" w:ascii="仿宋_GB2312" w:eastAsia="仿宋_GB2312" w:cs="仿宋_GB2312"/>
          <w:sz w:val="32"/>
          <w:szCs w:val="32"/>
          <w:highlight w:val="none"/>
          <w:lang w:bidi="ar"/>
        </w:rPr>
        <w:t>，</w:t>
      </w:r>
      <w:r>
        <w:rPr>
          <w:rFonts w:hint="eastAsia" w:ascii="仿宋_GB2312" w:eastAsia="仿宋_GB2312" w:cs="仿宋_GB2312"/>
          <w:color w:val="000000"/>
          <w:kern w:val="0"/>
          <w:sz w:val="32"/>
          <w:szCs w:val="32"/>
          <w:highlight w:val="none"/>
          <w:lang w:bidi="ar"/>
        </w:rPr>
        <w:t>细化、量化指标值，</w:t>
      </w:r>
      <w:r>
        <w:rPr>
          <w:rFonts w:hint="eastAsia" w:ascii="仿宋_GB2312" w:eastAsia="仿宋_GB2312" w:cs="仿宋_GB2312"/>
          <w:sz w:val="32"/>
          <w:szCs w:val="32"/>
          <w:highlight w:val="none"/>
          <w:lang w:bidi="ar"/>
        </w:rPr>
        <w:t>确保指标可评可测可衡量，</w:t>
      </w:r>
      <w:r>
        <w:rPr>
          <w:rFonts w:hint="eastAsia" w:ascii="仿宋_GB2312" w:eastAsia="仿宋_GB2312" w:cs="仿宋_GB2312"/>
          <w:color w:val="000000"/>
          <w:kern w:val="0"/>
          <w:sz w:val="32"/>
          <w:szCs w:val="32"/>
          <w:highlight w:val="none"/>
          <w:lang w:bidi="ar"/>
        </w:rPr>
        <w:t>有效指导项目开展</w:t>
      </w:r>
      <w:r>
        <w:rPr>
          <w:rFonts w:hint="eastAsia" w:ascii="仿宋_GB2312" w:eastAsia="仿宋_GB2312" w:cs="仿宋_GB2312"/>
          <w:sz w:val="32"/>
          <w:szCs w:val="32"/>
          <w:highlight w:val="none"/>
          <w:lang w:bidi="ar"/>
        </w:rPr>
        <w:t>。</w:t>
      </w:r>
    </w:p>
    <w:p w14:paraId="765B2E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深化零基预算改革，提高预算编制的精准性。按照项目目标相关性、政策相符性和开支合理性原则，充分开展项目调研论证，科学测算资金投入规模，明确预算编制依据和标准，严格项目预算评审。强化成本控制措施，提高项目经济性。</w:t>
      </w:r>
    </w:p>
    <w:p w14:paraId="6B0FE5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强化项目全周期管理，提升财政资金使用效能。在注重项目过程管理的同时，进一步加强项目成果管理，推动项目成果转化。对于直接面向社会公众提供公共服务的项目，做好满意度调查，明确调查对象和调查方式方法，加强对调查结果的统计分析，重视调查结果应用，为部门持续决策、优化管理及提升绩效提供参考。</w:t>
      </w:r>
    </w:p>
    <w:p w14:paraId="73ADB2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9"/>
        <w:rPr>
          <w:rFonts w:ascii="黑体" w:hAnsi="黑体" w:eastAsia="黑体" w:cs="黑体"/>
          <w:sz w:val="32"/>
          <w:szCs w:val="32"/>
        </w:rPr>
      </w:pPr>
      <w:bookmarkStart w:id="61" w:name="_Toc10516"/>
      <w:r>
        <w:rPr>
          <w:rFonts w:hint="eastAsia" w:ascii="黑体" w:hAnsi="黑体" w:eastAsia="黑体" w:cs="宋体"/>
          <w:color w:val="000000"/>
          <w:kern w:val="0"/>
          <w:sz w:val="32"/>
          <w:szCs w:val="32"/>
        </w:rPr>
        <w:t>七、附件</w:t>
      </w:r>
      <w:bookmarkEnd w:id="61"/>
    </w:p>
    <w:p w14:paraId="019E69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bCs/>
          <w:kern w:val="44"/>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年部门整体绩效评价指标体系评分表</w:t>
      </w:r>
    </w:p>
    <w:p w14:paraId="457343E3">
      <w:pPr>
        <w:pStyle w:val="6"/>
        <w:keepNext w:val="0"/>
        <w:keepLines w:val="0"/>
        <w:pageBreakBefore w:val="0"/>
        <w:widowControl w:val="0"/>
        <w:kinsoku/>
        <w:wordWrap/>
        <w:overflowPunct/>
        <w:topLinePunct w:val="0"/>
        <w:autoSpaceDE/>
        <w:autoSpaceDN/>
        <w:bidi w:val="0"/>
        <w:adjustRightInd w:val="0"/>
        <w:snapToGrid w:val="0"/>
        <w:spacing w:line="560" w:lineRule="exact"/>
        <w:sectPr>
          <w:footerReference r:id="rId3" w:type="default"/>
          <w:pgSz w:w="11906" w:h="16838"/>
          <w:pgMar w:top="1701" w:right="1701" w:bottom="1701" w:left="1701" w:header="851" w:footer="992" w:gutter="0"/>
          <w:pgNumType w:start="1"/>
          <w:cols w:space="425" w:num="1"/>
          <w:docGrid w:type="lines" w:linePitch="312" w:charSpace="0"/>
        </w:sectPr>
      </w:pPr>
    </w:p>
    <w:p w14:paraId="1FB665CE">
      <w:pPr>
        <w:pStyle w:val="6"/>
        <w:adjustRightInd w:val="0"/>
        <w:snapToGrid w:val="0"/>
        <w:spacing w:line="560" w:lineRule="exact"/>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2"/>
        <w:gridCol w:w="3000"/>
        <w:gridCol w:w="1745"/>
        <w:gridCol w:w="524"/>
        <w:gridCol w:w="1129"/>
        <w:gridCol w:w="1146"/>
        <w:gridCol w:w="1045"/>
        <w:gridCol w:w="1719"/>
      </w:tblGrid>
      <w:tr w14:paraId="368A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4939" w:type="pct"/>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7B55A">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2024年部门整体绩效评价指标体系评分表</w:t>
            </w:r>
          </w:p>
        </w:tc>
      </w:tr>
      <w:tr w14:paraId="017B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3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E46C61">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一、当年预算执行情况（20分）</w:t>
            </w:r>
          </w:p>
        </w:tc>
      </w:tr>
      <w:tr w14:paraId="1BA8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DB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　</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6C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　</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BF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预算数（万元）</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14B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执行数（万元）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7A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0E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17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r>
      <w:tr w14:paraId="1D8E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40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当年预算执行情况（20）</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67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资金总体</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D2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29957.99</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91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25952.43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61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86.63%</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F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4F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17.33</w:t>
            </w:r>
          </w:p>
        </w:tc>
      </w:tr>
      <w:tr w14:paraId="1FBD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D27B">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49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基本支出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EC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11,189.47</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B8F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11,084.28</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937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4153">
            <w:pPr>
              <w:jc w:val="center"/>
              <w:rPr>
                <w:rFonts w:hint="default" w:ascii="Times New Roman" w:hAnsi="Times New Roman" w:eastAsia="宋体" w:cs="Times New Roman"/>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B345">
            <w:pPr>
              <w:jc w:val="center"/>
              <w:rPr>
                <w:rFonts w:hint="default" w:ascii="Times New Roman" w:hAnsi="Times New Roman" w:eastAsia="宋体" w:cs="Times New Roman"/>
                <w:i w:val="0"/>
                <w:iCs w:val="0"/>
                <w:color w:val="000000"/>
                <w:sz w:val="18"/>
                <w:szCs w:val="18"/>
                <w:u w:val="none"/>
              </w:rPr>
            </w:pPr>
          </w:p>
        </w:tc>
      </w:tr>
      <w:tr w14:paraId="7334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2CA0">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44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9F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18,768.52</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0CF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14,868.15</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0389">
            <w:pPr>
              <w:jc w:val="center"/>
              <w:rPr>
                <w:rFonts w:hint="default" w:ascii="Times New Roman" w:hAnsi="Times New Roman" w:eastAsia="宋体" w:cs="Times New Roman"/>
                <w:i w:val="0"/>
                <w:iCs w:val="0"/>
                <w:color w:val="000000"/>
                <w:sz w:val="18"/>
                <w:szCs w:val="18"/>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E54">
            <w:pPr>
              <w:jc w:val="center"/>
              <w:rPr>
                <w:rFonts w:hint="default" w:ascii="Times New Roman" w:hAnsi="Times New Roman" w:eastAsia="宋体" w:cs="Times New Roman"/>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CCCD">
            <w:pPr>
              <w:jc w:val="center"/>
              <w:rPr>
                <w:rFonts w:hint="default" w:ascii="Times New Roman" w:hAnsi="Times New Roman" w:eastAsia="宋体" w:cs="Times New Roman"/>
                <w:i w:val="0"/>
                <w:iCs w:val="0"/>
                <w:color w:val="000000"/>
                <w:sz w:val="18"/>
                <w:szCs w:val="18"/>
                <w:u w:val="none"/>
              </w:rPr>
            </w:pPr>
          </w:p>
        </w:tc>
      </w:tr>
      <w:tr w14:paraId="4ECE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2"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AA58">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03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84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24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4A47E">
            <w:pPr>
              <w:jc w:val="center"/>
              <w:rPr>
                <w:rFonts w:hint="default" w:ascii="Times New Roman" w:hAnsi="Times New Roman" w:eastAsia="宋体" w:cs="Times New Roman"/>
                <w:i w:val="0"/>
                <w:iCs w:val="0"/>
                <w:color w:val="000000"/>
                <w:sz w:val="18"/>
                <w:szCs w:val="18"/>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22C0">
            <w:pPr>
              <w:jc w:val="center"/>
              <w:rPr>
                <w:rFonts w:hint="default" w:ascii="Times New Roman" w:hAnsi="Times New Roman" w:eastAsia="宋体" w:cs="Times New Roman"/>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099C">
            <w:pPr>
              <w:jc w:val="center"/>
              <w:rPr>
                <w:rFonts w:hint="default" w:ascii="Times New Roman" w:hAnsi="Times New Roman" w:eastAsia="宋体" w:cs="Times New Roman"/>
                <w:i w:val="0"/>
                <w:iCs w:val="0"/>
                <w:color w:val="000000"/>
                <w:sz w:val="18"/>
                <w:szCs w:val="18"/>
                <w:u w:val="none"/>
              </w:rPr>
            </w:pPr>
          </w:p>
        </w:tc>
      </w:tr>
      <w:tr w14:paraId="42AB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3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5C3AD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二、整体绩效目标实现情况（60分）</w:t>
            </w:r>
          </w:p>
        </w:tc>
      </w:tr>
      <w:tr w14:paraId="6A4F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A2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42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　</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33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　</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296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CD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5B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96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r>
      <w:tr w14:paraId="1683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795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整体绩效目标实现情况（60）</w:t>
            </w:r>
          </w:p>
        </w:tc>
        <w:tc>
          <w:tcPr>
            <w:tcW w:w="1042" w:type="pct"/>
            <w:vMerge w:val="restart"/>
            <w:tcBorders>
              <w:top w:val="single" w:color="000000" w:sz="4" w:space="0"/>
              <w:left w:val="single" w:color="000000" w:sz="4" w:space="0"/>
              <w:bottom w:val="nil"/>
              <w:right w:val="single" w:color="000000" w:sz="4" w:space="0"/>
            </w:tcBorders>
            <w:shd w:val="clear" w:color="auto" w:fill="auto"/>
            <w:vAlign w:val="center"/>
          </w:tcPr>
          <w:p w14:paraId="22DF58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产出（30）</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5B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产出数量</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CCD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各项任务完成率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48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869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44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2EA3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A619E">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nil"/>
              <w:right w:val="single" w:color="000000" w:sz="4" w:space="0"/>
            </w:tcBorders>
            <w:shd w:val="clear" w:color="auto" w:fill="auto"/>
            <w:vAlign w:val="center"/>
          </w:tcPr>
          <w:p w14:paraId="25546AE6">
            <w:pPr>
              <w:jc w:val="center"/>
              <w:rPr>
                <w:rFonts w:hint="default" w:ascii="Times New Roman" w:hAnsi="Times New Roman" w:eastAsia="宋体" w:cs="Times New Roman"/>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8C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产出质量</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EE9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质量达标率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40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7FAAB">
            <w:pPr>
              <w:jc w:val="center"/>
              <w:rPr>
                <w:rFonts w:hint="default" w:ascii="Times New Roman" w:hAnsi="Times New Roman" w:eastAsia="宋体" w:cs="Times New Roman"/>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72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14:paraId="4CA2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6ACA">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nil"/>
              <w:right w:val="single" w:color="000000" w:sz="4" w:space="0"/>
            </w:tcBorders>
            <w:shd w:val="clear" w:color="auto" w:fill="auto"/>
            <w:vAlign w:val="center"/>
          </w:tcPr>
          <w:p w14:paraId="2AEE831A">
            <w:pPr>
              <w:jc w:val="center"/>
              <w:rPr>
                <w:rFonts w:hint="default" w:ascii="Times New Roman" w:hAnsi="Times New Roman" w:eastAsia="宋体" w:cs="Times New Roman"/>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50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产出进度</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993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按时完成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C5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8D8A">
            <w:pPr>
              <w:jc w:val="center"/>
              <w:rPr>
                <w:rFonts w:hint="default" w:ascii="Times New Roman" w:hAnsi="Times New Roman" w:eastAsia="宋体" w:cs="Times New Roman"/>
                <w:i w:val="0"/>
                <w:iCs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4D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22AB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9F18">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nil"/>
              <w:right w:val="single" w:color="000000" w:sz="4" w:space="0"/>
            </w:tcBorders>
            <w:shd w:val="clear" w:color="auto" w:fill="auto"/>
            <w:vAlign w:val="center"/>
          </w:tcPr>
          <w:p w14:paraId="13BF7C47">
            <w:pPr>
              <w:jc w:val="center"/>
              <w:rPr>
                <w:rFonts w:hint="default" w:ascii="Times New Roman" w:hAnsi="Times New Roman" w:eastAsia="宋体" w:cs="Times New Roman"/>
                <w:i w:val="0"/>
                <w:iCs w:val="0"/>
                <w:color w:val="000000"/>
                <w:sz w:val="18"/>
                <w:szCs w:val="18"/>
                <w:u w:val="none"/>
              </w:rPr>
            </w:pPr>
          </w:p>
        </w:tc>
        <w:tc>
          <w:tcPr>
            <w:tcW w:w="606" w:type="pct"/>
            <w:tcBorders>
              <w:top w:val="single" w:color="000000" w:sz="4" w:space="0"/>
              <w:left w:val="single" w:color="000000" w:sz="4" w:space="0"/>
              <w:bottom w:val="single" w:color="auto" w:sz="4" w:space="0"/>
              <w:right w:val="single" w:color="000000" w:sz="4" w:space="0"/>
            </w:tcBorders>
            <w:shd w:val="clear" w:color="auto" w:fill="auto"/>
            <w:vAlign w:val="center"/>
          </w:tcPr>
          <w:p w14:paraId="53D5F4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产出成本</w:t>
            </w:r>
          </w:p>
        </w:tc>
        <w:tc>
          <w:tcPr>
            <w:tcW w:w="574"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648A7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≤预算控制数　</w:t>
            </w:r>
          </w:p>
        </w:tc>
        <w:tc>
          <w:tcPr>
            <w:tcW w:w="395" w:type="pct"/>
            <w:tcBorders>
              <w:top w:val="single" w:color="000000" w:sz="4" w:space="0"/>
              <w:left w:val="single" w:color="000000" w:sz="4" w:space="0"/>
              <w:bottom w:val="single" w:color="auto" w:sz="4" w:space="0"/>
              <w:right w:val="single" w:color="000000" w:sz="4" w:space="0"/>
            </w:tcBorders>
            <w:shd w:val="clear" w:color="auto" w:fill="auto"/>
            <w:vAlign w:val="center"/>
          </w:tcPr>
          <w:p w14:paraId="1F8E39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36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DAAC499">
            <w:pPr>
              <w:jc w:val="center"/>
              <w:rPr>
                <w:rFonts w:hint="default" w:ascii="Times New Roman" w:hAnsi="Times New Roman" w:eastAsia="宋体" w:cs="Times New Roman"/>
                <w:i w:val="0"/>
                <w:iCs w:val="0"/>
                <w:color w:val="000000"/>
                <w:sz w:val="18"/>
                <w:szCs w:val="18"/>
                <w:u w:val="none"/>
              </w:rPr>
            </w:pPr>
          </w:p>
        </w:tc>
        <w:tc>
          <w:tcPr>
            <w:tcW w:w="59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6B1D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14:paraId="32E2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5A396">
            <w:pPr>
              <w:jc w:val="center"/>
              <w:rPr>
                <w:rFonts w:hint="default" w:ascii="Times New Roman" w:hAnsi="Times New Roman" w:eastAsia="宋体" w:cs="Times New Roman"/>
                <w:i w:val="0"/>
                <w:iCs w:val="0"/>
                <w:color w:val="000000"/>
                <w:sz w:val="18"/>
                <w:szCs w:val="18"/>
                <w:u w:val="none"/>
              </w:rPr>
            </w:pPr>
          </w:p>
        </w:tc>
        <w:tc>
          <w:tcPr>
            <w:tcW w:w="104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DAF9A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效果（30）</w:t>
            </w:r>
          </w:p>
        </w:tc>
        <w:tc>
          <w:tcPr>
            <w:tcW w:w="6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4FF2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w:t>
            </w:r>
          </w:p>
        </w:tc>
        <w:tc>
          <w:tcPr>
            <w:tcW w:w="5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C8F1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提升政务服务</w:t>
            </w:r>
          </w:p>
          <w:p w14:paraId="044BC9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保</w:t>
            </w:r>
            <w:r>
              <w:rPr>
                <w:rFonts w:hint="eastAsia" w:ascii="Times New Roman" w:hAnsi="Times New Roman" w:eastAsia="宋体" w:cs="Times New Roman"/>
                <w:i w:val="0"/>
                <w:iCs w:val="0"/>
                <w:color w:val="000000"/>
                <w:sz w:val="18"/>
                <w:szCs w:val="18"/>
                <w:highlight w:val="none"/>
                <w:u w:val="none"/>
                <w:lang w:val="en-US" w:eastAsia="zh-CN"/>
              </w:rPr>
              <w:t>障</w:t>
            </w:r>
            <w:r>
              <w:rPr>
                <w:rFonts w:hint="default" w:ascii="Times New Roman" w:hAnsi="Times New Roman" w:eastAsia="宋体" w:cs="Times New Roman"/>
                <w:i w:val="0"/>
                <w:iCs w:val="0"/>
                <w:color w:val="000000"/>
                <w:sz w:val="18"/>
                <w:szCs w:val="18"/>
                <w:highlight w:val="none"/>
                <w:u w:val="none"/>
                <w:lang w:val="en-US" w:eastAsia="zh-CN"/>
              </w:rPr>
              <w:t>能力</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7FF3B8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是</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2DF4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22F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r>
      <w:tr w14:paraId="251F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9AF4">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6A7AE84">
            <w:pPr>
              <w:jc w:val="center"/>
              <w:rPr>
                <w:rFonts w:hint="default" w:ascii="Times New Roman" w:hAnsi="Times New Roman" w:eastAsia="宋体" w:cs="Times New Roman"/>
                <w:i w:val="0"/>
                <w:iCs w:val="0"/>
                <w:color w:val="000000"/>
                <w:sz w:val="18"/>
                <w:szCs w:val="18"/>
                <w:u w:val="none"/>
              </w:rPr>
            </w:pPr>
          </w:p>
        </w:tc>
        <w:tc>
          <w:tcPr>
            <w:tcW w:w="6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F7C1C">
            <w:pPr>
              <w:jc w:val="center"/>
              <w:rPr>
                <w:rFonts w:hint="default" w:ascii="Times New Roman" w:hAnsi="Times New Roman" w:eastAsia="宋体" w:cs="Times New Roman"/>
                <w:i w:val="0"/>
                <w:iCs w:val="0"/>
                <w:color w:val="000000"/>
                <w:sz w:val="18"/>
                <w:szCs w:val="18"/>
                <w:u w:val="none"/>
              </w:rPr>
            </w:pPr>
          </w:p>
        </w:tc>
        <w:tc>
          <w:tcPr>
            <w:tcW w:w="5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9107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维护地区</w:t>
            </w:r>
          </w:p>
          <w:p w14:paraId="5824FE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安全稳定</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29FC7A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是</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F034C2">
            <w:pPr>
              <w:jc w:val="center"/>
              <w:rPr>
                <w:rFonts w:hint="default" w:ascii="Times New Roman" w:hAnsi="Times New Roman" w:eastAsia="宋体" w:cs="Times New Roman"/>
                <w:i w:val="0"/>
                <w:iCs w:val="0"/>
                <w:color w:val="000000"/>
                <w:sz w:val="18"/>
                <w:szCs w:val="18"/>
                <w:highlight w:val="none"/>
                <w:u w:val="none"/>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9CC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r>
      <w:tr w14:paraId="6C32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186C8">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16FC07B">
            <w:pPr>
              <w:jc w:val="center"/>
              <w:rPr>
                <w:rFonts w:hint="default" w:ascii="Times New Roman" w:hAnsi="Times New Roman" w:eastAsia="宋体" w:cs="Times New Roman"/>
                <w:i w:val="0"/>
                <w:iCs w:val="0"/>
                <w:color w:val="000000"/>
                <w:sz w:val="18"/>
                <w:szCs w:val="18"/>
                <w:u w:val="none"/>
              </w:rPr>
            </w:pPr>
          </w:p>
        </w:tc>
        <w:tc>
          <w:tcPr>
            <w:tcW w:w="6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362D7">
            <w:pPr>
              <w:jc w:val="center"/>
              <w:rPr>
                <w:rFonts w:hint="default" w:ascii="Times New Roman" w:hAnsi="Times New Roman" w:eastAsia="宋体" w:cs="Times New Roman"/>
                <w:i w:val="0"/>
                <w:iCs w:val="0"/>
                <w:color w:val="000000"/>
                <w:sz w:val="18"/>
                <w:szCs w:val="18"/>
                <w:u w:val="none"/>
              </w:rPr>
            </w:pPr>
          </w:p>
        </w:tc>
        <w:tc>
          <w:tcPr>
            <w:tcW w:w="5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294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保障优质公共</w:t>
            </w:r>
          </w:p>
          <w:p w14:paraId="04FCD6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rPr>
              <w:t>服务</w:t>
            </w:r>
            <w:r>
              <w:rPr>
                <w:rFonts w:hint="default" w:ascii="Times New Roman" w:hAnsi="Times New Roman" w:eastAsia="宋体" w:cs="Times New Roman"/>
                <w:i w:val="0"/>
                <w:iCs w:val="0"/>
                <w:color w:val="000000"/>
                <w:sz w:val="18"/>
                <w:szCs w:val="18"/>
                <w:highlight w:val="none"/>
                <w:u w:val="none"/>
                <w:lang w:val="en-US" w:eastAsia="zh-CN"/>
              </w:rPr>
              <w:t>供给</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56C66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是</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29E52C">
            <w:pPr>
              <w:jc w:val="center"/>
              <w:rPr>
                <w:rFonts w:hint="default" w:ascii="Times New Roman" w:hAnsi="Times New Roman" w:eastAsia="宋体" w:cs="Times New Roman"/>
                <w:i w:val="0"/>
                <w:iCs w:val="0"/>
                <w:color w:val="000000"/>
                <w:sz w:val="18"/>
                <w:szCs w:val="18"/>
                <w:highlight w:val="none"/>
                <w:u w:val="none"/>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FD4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r>
      <w:tr w14:paraId="6530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BA91">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6EDCB17">
            <w:pPr>
              <w:jc w:val="center"/>
              <w:rPr>
                <w:rFonts w:hint="default" w:ascii="Times New Roman" w:hAnsi="Times New Roman" w:eastAsia="宋体" w:cs="Times New Roman"/>
                <w:i w:val="0"/>
                <w:iCs w:val="0"/>
                <w:color w:val="000000"/>
                <w:sz w:val="18"/>
                <w:szCs w:val="18"/>
                <w:u w:val="none"/>
              </w:rPr>
            </w:pPr>
          </w:p>
        </w:tc>
        <w:tc>
          <w:tcPr>
            <w:tcW w:w="6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A2F0D7">
            <w:pPr>
              <w:jc w:val="center"/>
              <w:rPr>
                <w:rFonts w:hint="default" w:ascii="Times New Roman" w:hAnsi="Times New Roman" w:eastAsia="宋体" w:cs="Times New Roman"/>
                <w:i w:val="0"/>
                <w:iCs w:val="0"/>
                <w:color w:val="000000"/>
                <w:sz w:val="18"/>
                <w:szCs w:val="18"/>
                <w:u w:val="none"/>
              </w:rPr>
            </w:pPr>
          </w:p>
        </w:tc>
        <w:tc>
          <w:tcPr>
            <w:tcW w:w="5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2661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提高地区综合</w:t>
            </w:r>
          </w:p>
          <w:p w14:paraId="722476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治理能力</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019E96C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是</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B7C61">
            <w:pPr>
              <w:jc w:val="center"/>
              <w:rPr>
                <w:rFonts w:hint="default" w:ascii="Times New Roman" w:hAnsi="Times New Roman" w:eastAsia="宋体" w:cs="Times New Roman"/>
                <w:i w:val="0"/>
                <w:iCs w:val="0"/>
                <w:color w:val="000000"/>
                <w:sz w:val="18"/>
                <w:szCs w:val="18"/>
                <w:highlight w:val="none"/>
                <w:u w:val="none"/>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EE4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r>
      <w:tr w14:paraId="4A4A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A83B">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D8C6854">
            <w:pPr>
              <w:jc w:val="center"/>
              <w:rPr>
                <w:rFonts w:hint="default" w:ascii="Times New Roman" w:hAnsi="Times New Roman" w:eastAsia="宋体" w:cs="Times New Roman"/>
                <w:i w:val="0"/>
                <w:iCs w:val="0"/>
                <w:color w:val="000000"/>
                <w:sz w:val="18"/>
                <w:szCs w:val="18"/>
                <w:u w:val="none"/>
              </w:rPr>
            </w:pP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0BC97B83">
            <w:pPr>
              <w:jc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服务对象满意度</w:t>
            </w:r>
          </w:p>
        </w:tc>
        <w:tc>
          <w:tcPr>
            <w:tcW w:w="5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3B08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服务对象满意度水平较高</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68C5DE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是</w:t>
            </w:r>
          </w:p>
        </w:tc>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BDB89">
            <w:pPr>
              <w:jc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10</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102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9.5</w:t>
            </w:r>
          </w:p>
        </w:tc>
      </w:tr>
      <w:tr w14:paraId="212F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3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7D643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三、预算管理情况（20分）</w:t>
            </w:r>
          </w:p>
        </w:tc>
      </w:tr>
      <w:tr w14:paraId="4A1C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B7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F4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00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757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55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55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F7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r>
      <w:tr w14:paraId="1995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642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预算管理情况（20）</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902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财务管理（4）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88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财务管理制度</w:t>
            </w:r>
          </w:p>
          <w:p w14:paraId="0E2983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健全性</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096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健全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38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健全</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22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E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r>
      <w:tr w14:paraId="2491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9D37">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F035">
            <w:pPr>
              <w:jc w:val="center"/>
              <w:rPr>
                <w:rFonts w:hint="default" w:ascii="Times New Roman" w:hAnsi="Times New Roman" w:eastAsia="宋体" w:cs="Times New Roman"/>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88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资金使用合规性和安全性</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FA7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合规安全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A8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合规安全</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B9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23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14:paraId="5940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1E1A">
            <w:pPr>
              <w:jc w:val="center"/>
              <w:rPr>
                <w:rFonts w:hint="default" w:ascii="Times New Roman" w:hAnsi="Times New Roman" w:eastAsia="宋体" w:cs="Times New Roman"/>
                <w:i w:val="0"/>
                <w:iCs w:val="0"/>
                <w:color w:val="000000"/>
                <w:sz w:val="18"/>
                <w:szCs w:val="18"/>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00D1">
            <w:pPr>
              <w:jc w:val="center"/>
              <w:rPr>
                <w:rFonts w:hint="default" w:ascii="Times New Roman" w:hAnsi="Times New Roman" w:eastAsia="宋体" w:cs="Times New Roman"/>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DA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会计基础信息</w:t>
            </w:r>
          </w:p>
          <w:p w14:paraId="0BB31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完善性</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C6B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完善</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4F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86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60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14:paraId="4713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BF0E">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1C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资产管理（4）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4C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资产管理规范性</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28D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规范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2F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规范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6D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F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r>
      <w:tr w14:paraId="1449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44917">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44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绩效管理（4）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30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绩效管理情况</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C8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5E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18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BF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r>
      <w:tr w14:paraId="2E94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BDC9">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33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　</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C8F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803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ascii="Times New Roman" w:hAnsi="Times New Roman" w:eastAsia="宋体"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年</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B7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分值</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61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r>
      <w:tr w14:paraId="03E7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BBA5">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79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结转结余率（4）</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13D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5.73%</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F6E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13.8</w:t>
            </w:r>
            <w:r>
              <w:rPr>
                <w:rFonts w:hint="default" w:ascii="Times New Roman" w:hAnsi="Times New Roman" w:eastAsia="宋体" w:cs="Times New Roman"/>
                <w:i w:val="0"/>
                <w:iCs w:val="0"/>
                <w:color w:val="000000"/>
                <w:sz w:val="18"/>
                <w:szCs w:val="18"/>
                <w:highlight w:val="none"/>
                <w:u w:val="none"/>
                <w:lang w:eastAsia="zh-CN"/>
              </w:rPr>
              <w:t>2</w:t>
            </w:r>
            <w:r>
              <w:rPr>
                <w:rFonts w:hint="default" w:ascii="Times New Roman" w:hAnsi="Times New Roman" w:eastAsia="宋体" w:cs="Times New Roman"/>
                <w:i w:val="0"/>
                <w:iCs w:val="0"/>
                <w:color w:val="000000"/>
                <w:sz w:val="18"/>
                <w:szCs w:val="18"/>
                <w:highlight w:val="none"/>
                <w:u w:val="none"/>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A0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47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0.76</w:t>
            </w:r>
          </w:p>
        </w:tc>
      </w:tr>
      <w:tr w14:paraId="0119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7A8F">
            <w:pPr>
              <w:jc w:val="center"/>
              <w:rPr>
                <w:rFonts w:hint="default" w:ascii="Times New Roman" w:hAnsi="Times New Roman" w:eastAsia="宋体" w:cs="Times New Roman"/>
                <w:i w:val="0"/>
                <w:iCs w:val="0"/>
                <w:color w:val="000000"/>
                <w:sz w:val="18"/>
                <w:szCs w:val="18"/>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83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部门预决算差异率（4）</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3C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FC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17.44%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D6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51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r>
      <w:tr w14:paraId="1B58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8D1D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0A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4F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color w:val="000000"/>
                <w:kern w:val="0"/>
                <w:sz w:val="18"/>
                <w:szCs w:val="18"/>
                <w:highlight w:val="none"/>
                <w:u w:val="none"/>
                <w:lang w:val="en-US" w:eastAsia="zh-CN" w:bidi="ar"/>
              </w:rPr>
              <w:t>93.09</w:t>
            </w:r>
          </w:p>
        </w:tc>
      </w:tr>
    </w:tbl>
    <w:p w14:paraId="08D5BA1F">
      <w:pPr>
        <w:pStyle w:val="6"/>
        <w:adjustRightInd w:val="0"/>
        <w:snapToGrid w:val="0"/>
        <w:spacing w:line="560" w:lineRule="exact"/>
        <w:ind w:firstLine="0"/>
        <w:rPr>
          <w:rFonts w:hint="eastAsia"/>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3ADDED-0F70-46CD-BCA9-37A1B2FEBA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2A67760-5E5E-4DF8-B327-A3CFC152C124}"/>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3" w:fontKey="{F94AAD15-7F11-44AB-AF2C-2B781F9F172F}"/>
  </w:font>
  <w:font w:name="方正仿宋_GBK">
    <w:altName w:val="Arial Unicode MS"/>
    <w:panose1 w:val="02000000000000000000"/>
    <w:charset w:val="86"/>
    <w:family w:val="auto"/>
    <w:pitch w:val="default"/>
    <w:sig w:usb0="00000000" w:usb1="00000000" w:usb2="00000000" w:usb3="00000000" w:csb0="00040000" w:csb1="00000000"/>
    <w:embedRegular r:id="rId4" w:fontKey="{0E7CB109-3114-4A56-95EB-55440D6A9AB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5" w:fontKey="{FEAE278C-39DF-4F4F-8134-27B700C782D6}"/>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embedRegular r:id="rId6" w:fontKey="{BA1BD6EC-139E-4B50-8234-01A511E7E541}"/>
  </w:font>
  <w:font w:name="楷体_GB2312">
    <w:altName w:val="楷体"/>
    <w:panose1 w:val="02010609030101010101"/>
    <w:charset w:val="86"/>
    <w:family w:val="modern"/>
    <w:pitch w:val="default"/>
    <w:sig w:usb0="00000000" w:usb1="00000000" w:usb2="00000000" w:usb3="00000000" w:csb0="00040000" w:csb1="00000000"/>
    <w:embedRegular r:id="rId7" w:fontKey="{068BD3F9-C9A4-42E8-9BF1-E09931452B5A}"/>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267606"/>
      <w:docPartObj>
        <w:docPartGallery w:val="autotext"/>
      </w:docPartObj>
    </w:sdtPr>
    <w:sdtEndPr>
      <w:rPr>
        <w:rFonts w:ascii="Times New Roman" w:hAnsi="Times New Roman" w:cs="Times New Roman"/>
        <w:sz w:val="21"/>
        <w:szCs w:val="21"/>
      </w:rPr>
    </w:sdtEndPr>
    <w:sdtContent>
      <w:p w14:paraId="55208B9B">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145F54DE">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zk1YWU0NDQ2N2U5OTVjMjUwMDY1YjVmM2ViM2UifQ=="/>
  </w:docVars>
  <w:rsids>
    <w:rsidRoot w:val="007D6785"/>
    <w:rsid w:val="00005402"/>
    <w:rsid w:val="000619CC"/>
    <w:rsid w:val="000871A4"/>
    <w:rsid w:val="0009051B"/>
    <w:rsid w:val="00105241"/>
    <w:rsid w:val="00201AB1"/>
    <w:rsid w:val="0022181C"/>
    <w:rsid w:val="002D5D29"/>
    <w:rsid w:val="00346CC0"/>
    <w:rsid w:val="00360831"/>
    <w:rsid w:val="00386C46"/>
    <w:rsid w:val="004200A6"/>
    <w:rsid w:val="004A13BA"/>
    <w:rsid w:val="004D0CCB"/>
    <w:rsid w:val="00537339"/>
    <w:rsid w:val="00564281"/>
    <w:rsid w:val="00571DB5"/>
    <w:rsid w:val="005D0DA8"/>
    <w:rsid w:val="005D4EEF"/>
    <w:rsid w:val="005E663A"/>
    <w:rsid w:val="00643BE3"/>
    <w:rsid w:val="00676294"/>
    <w:rsid w:val="00686FE2"/>
    <w:rsid w:val="006E04C6"/>
    <w:rsid w:val="006F43F5"/>
    <w:rsid w:val="007C0F2D"/>
    <w:rsid w:val="007D6785"/>
    <w:rsid w:val="007E76A9"/>
    <w:rsid w:val="00806187"/>
    <w:rsid w:val="00867929"/>
    <w:rsid w:val="00880E15"/>
    <w:rsid w:val="008C1D42"/>
    <w:rsid w:val="008D181F"/>
    <w:rsid w:val="008E2E90"/>
    <w:rsid w:val="00944BE9"/>
    <w:rsid w:val="0099754D"/>
    <w:rsid w:val="009C6F0F"/>
    <w:rsid w:val="00AE2A48"/>
    <w:rsid w:val="00AF2B77"/>
    <w:rsid w:val="00B0691B"/>
    <w:rsid w:val="00B668A4"/>
    <w:rsid w:val="00B8272D"/>
    <w:rsid w:val="00BF0AA0"/>
    <w:rsid w:val="00C6142E"/>
    <w:rsid w:val="00CB24D5"/>
    <w:rsid w:val="00D10539"/>
    <w:rsid w:val="00D23EC5"/>
    <w:rsid w:val="00D27E17"/>
    <w:rsid w:val="00D44F36"/>
    <w:rsid w:val="00DD0C1A"/>
    <w:rsid w:val="00DD502C"/>
    <w:rsid w:val="00E15581"/>
    <w:rsid w:val="00E41BA5"/>
    <w:rsid w:val="00E56439"/>
    <w:rsid w:val="00EA40E8"/>
    <w:rsid w:val="00ED1361"/>
    <w:rsid w:val="00F62A3D"/>
    <w:rsid w:val="00F6676F"/>
    <w:rsid w:val="00F94CB9"/>
    <w:rsid w:val="00F96296"/>
    <w:rsid w:val="00FD5C03"/>
    <w:rsid w:val="012D3C0D"/>
    <w:rsid w:val="014D0938"/>
    <w:rsid w:val="0197690B"/>
    <w:rsid w:val="01B36BD0"/>
    <w:rsid w:val="021533E7"/>
    <w:rsid w:val="021A4C79"/>
    <w:rsid w:val="026305F6"/>
    <w:rsid w:val="028728DD"/>
    <w:rsid w:val="028C442B"/>
    <w:rsid w:val="02A12ECC"/>
    <w:rsid w:val="02BA13C7"/>
    <w:rsid w:val="02D768EE"/>
    <w:rsid w:val="02DA63DE"/>
    <w:rsid w:val="03080C9B"/>
    <w:rsid w:val="03603BBE"/>
    <w:rsid w:val="03B97254"/>
    <w:rsid w:val="0402211D"/>
    <w:rsid w:val="041B00E5"/>
    <w:rsid w:val="04262466"/>
    <w:rsid w:val="049C22B4"/>
    <w:rsid w:val="04F347BB"/>
    <w:rsid w:val="056F6202"/>
    <w:rsid w:val="0588240A"/>
    <w:rsid w:val="05982F92"/>
    <w:rsid w:val="05EF3F4F"/>
    <w:rsid w:val="06E61600"/>
    <w:rsid w:val="0711304F"/>
    <w:rsid w:val="07344457"/>
    <w:rsid w:val="07887E31"/>
    <w:rsid w:val="078E1545"/>
    <w:rsid w:val="079C0106"/>
    <w:rsid w:val="07E04497"/>
    <w:rsid w:val="08275C22"/>
    <w:rsid w:val="084154A6"/>
    <w:rsid w:val="08887282"/>
    <w:rsid w:val="08F508DC"/>
    <w:rsid w:val="0903613F"/>
    <w:rsid w:val="09066E3B"/>
    <w:rsid w:val="0911242E"/>
    <w:rsid w:val="09C532E6"/>
    <w:rsid w:val="0A125B31"/>
    <w:rsid w:val="0A342F3A"/>
    <w:rsid w:val="0A6C0264"/>
    <w:rsid w:val="0A783040"/>
    <w:rsid w:val="0A8E7105"/>
    <w:rsid w:val="0A9450C5"/>
    <w:rsid w:val="0AF0679F"/>
    <w:rsid w:val="0B36617C"/>
    <w:rsid w:val="0B6D7D67"/>
    <w:rsid w:val="0BE63156"/>
    <w:rsid w:val="0BE70C1B"/>
    <w:rsid w:val="0BE971FB"/>
    <w:rsid w:val="0C210BDA"/>
    <w:rsid w:val="0C344DB1"/>
    <w:rsid w:val="0C620578"/>
    <w:rsid w:val="0C6D2071"/>
    <w:rsid w:val="0C965124"/>
    <w:rsid w:val="0CC55A09"/>
    <w:rsid w:val="0D1411E7"/>
    <w:rsid w:val="0D2C7CA1"/>
    <w:rsid w:val="0D3E75A2"/>
    <w:rsid w:val="0D613984"/>
    <w:rsid w:val="0D713321"/>
    <w:rsid w:val="0D76754C"/>
    <w:rsid w:val="0D8A418C"/>
    <w:rsid w:val="0DD310D5"/>
    <w:rsid w:val="0DE97231"/>
    <w:rsid w:val="0E6B11ED"/>
    <w:rsid w:val="0E866236"/>
    <w:rsid w:val="0EA55AF2"/>
    <w:rsid w:val="0F356EB3"/>
    <w:rsid w:val="0F7274BA"/>
    <w:rsid w:val="0FBF8BAE"/>
    <w:rsid w:val="0FE8038D"/>
    <w:rsid w:val="0FF065E8"/>
    <w:rsid w:val="100919D4"/>
    <w:rsid w:val="101747CE"/>
    <w:rsid w:val="101F79F8"/>
    <w:rsid w:val="10440973"/>
    <w:rsid w:val="107D27FD"/>
    <w:rsid w:val="10E20F57"/>
    <w:rsid w:val="10F20056"/>
    <w:rsid w:val="113E071E"/>
    <w:rsid w:val="11A42091"/>
    <w:rsid w:val="11A4661F"/>
    <w:rsid w:val="11E466CA"/>
    <w:rsid w:val="121A076A"/>
    <w:rsid w:val="12420640"/>
    <w:rsid w:val="12543AB7"/>
    <w:rsid w:val="1254758B"/>
    <w:rsid w:val="12597320"/>
    <w:rsid w:val="128F716E"/>
    <w:rsid w:val="12C46A01"/>
    <w:rsid w:val="12E74B76"/>
    <w:rsid w:val="13080DA0"/>
    <w:rsid w:val="130955DD"/>
    <w:rsid w:val="135B0E75"/>
    <w:rsid w:val="13785584"/>
    <w:rsid w:val="13841C8E"/>
    <w:rsid w:val="138C13DD"/>
    <w:rsid w:val="13D205F7"/>
    <w:rsid w:val="1457788F"/>
    <w:rsid w:val="149A7408"/>
    <w:rsid w:val="151426B6"/>
    <w:rsid w:val="158D108E"/>
    <w:rsid w:val="15A40EAB"/>
    <w:rsid w:val="15A9236C"/>
    <w:rsid w:val="161C0D90"/>
    <w:rsid w:val="16320DD1"/>
    <w:rsid w:val="16403DB5"/>
    <w:rsid w:val="16C73322"/>
    <w:rsid w:val="16C74B4B"/>
    <w:rsid w:val="17207D2D"/>
    <w:rsid w:val="1749126A"/>
    <w:rsid w:val="174E0155"/>
    <w:rsid w:val="17575DF8"/>
    <w:rsid w:val="176C3651"/>
    <w:rsid w:val="176E6A50"/>
    <w:rsid w:val="17946704"/>
    <w:rsid w:val="17BC6043"/>
    <w:rsid w:val="17C86F3B"/>
    <w:rsid w:val="18027B12"/>
    <w:rsid w:val="184D42A1"/>
    <w:rsid w:val="18627B26"/>
    <w:rsid w:val="186603B4"/>
    <w:rsid w:val="19352312"/>
    <w:rsid w:val="197113F3"/>
    <w:rsid w:val="197B0A31"/>
    <w:rsid w:val="198130D3"/>
    <w:rsid w:val="19B60BB4"/>
    <w:rsid w:val="19E82D37"/>
    <w:rsid w:val="19FA6CA7"/>
    <w:rsid w:val="1A540A14"/>
    <w:rsid w:val="1ABB4669"/>
    <w:rsid w:val="1B4E2689"/>
    <w:rsid w:val="1BBBAC6C"/>
    <w:rsid w:val="1BE30473"/>
    <w:rsid w:val="1BFBAB0B"/>
    <w:rsid w:val="1C0814DE"/>
    <w:rsid w:val="1C67700C"/>
    <w:rsid w:val="1C7F5BD5"/>
    <w:rsid w:val="1CE974F2"/>
    <w:rsid w:val="1CEE31A1"/>
    <w:rsid w:val="1D37451A"/>
    <w:rsid w:val="1D6152DA"/>
    <w:rsid w:val="1DB775F0"/>
    <w:rsid w:val="1DF15646"/>
    <w:rsid w:val="1E164317"/>
    <w:rsid w:val="1E2A6B10"/>
    <w:rsid w:val="1E777120"/>
    <w:rsid w:val="1EC437F2"/>
    <w:rsid w:val="1EDF295B"/>
    <w:rsid w:val="1F457AFE"/>
    <w:rsid w:val="1F841754"/>
    <w:rsid w:val="1F971487"/>
    <w:rsid w:val="1FAE30E0"/>
    <w:rsid w:val="1FC36A1C"/>
    <w:rsid w:val="1FC45D59"/>
    <w:rsid w:val="1FD2799A"/>
    <w:rsid w:val="1FD6287E"/>
    <w:rsid w:val="1FE53EC9"/>
    <w:rsid w:val="1FEC4883"/>
    <w:rsid w:val="20104D96"/>
    <w:rsid w:val="20322B96"/>
    <w:rsid w:val="20484530"/>
    <w:rsid w:val="205C2F1D"/>
    <w:rsid w:val="205E4012"/>
    <w:rsid w:val="20691AE9"/>
    <w:rsid w:val="20C91B14"/>
    <w:rsid w:val="20E042E3"/>
    <w:rsid w:val="210963B5"/>
    <w:rsid w:val="21865F9D"/>
    <w:rsid w:val="21933ED0"/>
    <w:rsid w:val="21983295"/>
    <w:rsid w:val="21BB5C26"/>
    <w:rsid w:val="21BC1547"/>
    <w:rsid w:val="21DA4ABB"/>
    <w:rsid w:val="22B61C24"/>
    <w:rsid w:val="231F2C22"/>
    <w:rsid w:val="233020BA"/>
    <w:rsid w:val="233D75AE"/>
    <w:rsid w:val="23426EE9"/>
    <w:rsid w:val="235C70B5"/>
    <w:rsid w:val="23616034"/>
    <w:rsid w:val="23C038FB"/>
    <w:rsid w:val="23CC02AC"/>
    <w:rsid w:val="23D205A6"/>
    <w:rsid w:val="23DA2269"/>
    <w:rsid w:val="24156E1F"/>
    <w:rsid w:val="248C335D"/>
    <w:rsid w:val="24945F95"/>
    <w:rsid w:val="24A57160"/>
    <w:rsid w:val="24DE4B1F"/>
    <w:rsid w:val="24E97CFF"/>
    <w:rsid w:val="254D07E6"/>
    <w:rsid w:val="25506360"/>
    <w:rsid w:val="25545A29"/>
    <w:rsid w:val="255C7FE1"/>
    <w:rsid w:val="259039CA"/>
    <w:rsid w:val="25C44534"/>
    <w:rsid w:val="25E1345C"/>
    <w:rsid w:val="262C30C2"/>
    <w:rsid w:val="265B21B1"/>
    <w:rsid w:val="267D1D46"/>
    <w:rsid w:val="26EA3A6D"/>
    <w:rsid w:val="27424FFB"/>
    <w:rsid w:val="27CD5BB9"/>
    <w:rsid w:val="27D53816"/>
    <w:rsid w:val="27E77AE7"/>
    <w:rsid w:val="280A206B"/>
    <w:rsid w:val="280B47C0"/>
    <w:rsid w:val="28380E74"/>
    <w:rsid w:val="286363AA"/>
    <w:rsid w:val="287A0BD4"/>
    <w:rsid w:val="288250C4"/>
    <w:rsid w:val="28844BDA"/>
    <w:rsid w:val="2885743B"/>
    <w:rsid w:val="28A23BDF"/>
    <w:rsid w:val="28BD3CC7"/>
    <w:rsid w:val="28FF1AFF"/>
    <w:rsid w:val="295D104C"/>
    <w:rsid w:val="29792165"/>
    <w:rsid w:val="29B325F3"/>
    <w:rsid w:val="29EC3C5D"/>
    <w:rsid w:val="29FE7842"/>
    <w:rsid w:val="2A2D479B"/>
    <w:rsid w:val="2A3F4BF5"/>
    <w:rsid w:val="2A4B425B"/>
    <w:rsid w:val="2A7F1496"/>
    <w:rsid w:val="2A914885"/>
    <w:rsid w:val="2AA1765E"/>
    <w:rsid w:val="2B036FBE"/>
    <w:rsid w:val="2B736ED6"/>
    <w:rsid w:val="2B99075C"/>
    <w:rsid w:val="2C027C88"/>
    <w:rsid w:val="2C1F7FA0"/>
    <w:rsid w:val="2C4068EE"/>
    <w:rsid w:val="2C732934"/>
    <w:rsid w:val="2C854C08"/>
    <w:rsid w:val="2CAF1529"/>
    <w:rsid w:val="2CB01DDA"/>
    <w:rsid w:val="2CBE2F09"/>
    <w:rsid w:val="2CCB1056"/>
    <w:rsid w:val="2CCE35E6"/>
    <w:rsid w:val="2D632B7C"/>
    <w:rsid w:val="2D7365FC"/>
    <w:rsid w:val="2D832FD8"/>
    <w:rsid w:val="2D893089"/>
    <w:rsid w:val="2DB02848"/>
    <w:rsid w:val="2DBF1FE1"/>
    <w:rsid w:val="2DC94A10"/>
    <w:rsid w:val="2DFD0246"/>
    <w:rsid w:val="2E0A17C8"/>
    <w:rsid w:val="2E1747BF"/>
    <w:rsid w:val="2E224EBE"/>
    <w:rsid w:val="2E7A59BF"/>
    <w:rsid w:val="2EC35DF5"/>
    <w:rsid w:val="2F386E4E"/>
    <w:rsid w:val="2F6A66CC"/>
    <w:rsid w:val="2F8559C6"/>
    <w:rsid w:val="302208F9"/>
    <w:rsid w:val="30314FE0"/>
    <w:rsid w:val="303F12A1"/>
    <w:rsid w:val="30E3452C"/>
    <w:rsid w:val="313308E4"/>
    <w:rsid w:val="313B21E2"/>
    <w:rsid w:val="31436D79"/>
    <w:rsid w:val="314B0E46"/>
    <w:rsid w:val="317437AE"/>
    <w:rsid w:val="317A6513"/>
    <w:rsid w:val="319455CF"/>
    <w:rsid w:val="31CE1418"/>
    <w:rsid w:val="31D9148B"/>
    <w:rsid w:val="31DC71A3"/>
    <w:rsid w:val="323B2146"/>
    <w:rsid w:val="3244724D"/>
    <w:rsid w:val="324A2389"/>
    <w:rsid w:val="32523F19"/>
    <w:rsid w:val="32611CF5"/>
    <w:rsid w:val="328E54AC"/>
    <w:rsid w:val="32D84C31"/>
    <w:rsid w:val="32E45099"/>
    <w:rsid w:val="331E75B3"/>
    <w:rsid w:val="33406F8F"/>
    <w:rsid w:val="33C17097"/>
    <w:rsid w:val="341E29A6"/>
    <w:rsid w:val="345761DB"/>
    <w:rsid w:val="345E437D"/>
    <w:rsid w:val="347E52B3"/>
    <w:rsid w:val="34900A87"/>
    <w:rsid w:val="34F00DAB"/>
    <w:rsid w:val="34F32864"/>
    <w:rsid w:val="34FF467C"/>
    <w:rsid w:val="35042BAA"/>
    <w:rsid w:val="35221DC7"/>
    <w:rsid w:val="35667733"/>
    <w:rsid w:val="35CF10F5"/>
    <w:rsid w:val="369F01B4"/>
    <w:rsid w:val="3727621C"/>
    <w:rsid w:val="374A2DC4"/>
    <w:rsid w:val="377203B8"/>
    <w:rsid w:val="378E20E3"/>
    <w:rsid w:val="37DE5A4E"/>
    <w:rsid w:val="37FBE5C7"/>
    <w:rsid w:val="387D3C57"/>
    <w:rsid w:val="39110269"/>
    <w:rsid w:val="39493F52"/>
    <w:rsid w:val="396A43F6"/>
    <w:rsid w:val="397B72CC"/>
    <w:rsid w:val="397D3578"/>
    <w:rsid w:val="3A4E3759"/>
    <w:rsid w:val="3A747227"/>
    <w:rsid w:val="3AAA7C2D"/>
    <w:rsid w:val="3AAC011D"/>
    <w:rsid w:val="3ACB39EB"/>
    <w:rsid w:val="3ADB3ABB"/>
    <w:rsid w:val="3B651FE2"/>
    <w:rsid w:val="3B7C7FAD"/>
    <w:rsid w:val="3BB464FC"/>
    <w:rsid w:val="3BB7098A"/>
    <w:rsid w:val="3BF026A0"/>
    <w:rsid w:val="3C4F68A8"/>
    <w:rsid w:val="3C6A5B02"/>
    <w:rsid w:val="3C8F30AA"/>
    <w:rsid w:val="3C9017B0"/>
    <w:rsid w:val="3C9B0B42"/>
    <w:rsid w:val="3CEB3167"/>
    <w:rsid w:val="3CF372D2"/>
    <w:rsid w:val="3D4268E3"/>
    <w:rsid w:val="3D580F58"/>
    <w:rsid w:val="3D666786"/>
    <w:rsid w:val="3D7B5AED"/>
    <w:rsid w:val="3DCFD889"/>
    <w:rsid w:val="3DF91963"/>
    <w:rsid w:val="3DFC4E7F"/>
    <w:rsid w:val="3DFF8B14"/>
    <w:rsid w:val="3E194BC1"/>
    <w:rsid w:val="3E281C6C"/>
    <w:rsid w:val="3E6F30B6"/>
    <w:rsid w:val="3EB0426F"/>
    <w:rsid w:val="3F012A8A"/>
    <w:rsid w:val="3F3FCB3C"/>
    <w:rsid w:val="3F5B33C0"/>
    <w:rsid w:val="3F656A54"/>
    <w:rsid w:val="3F693EB8"/>
    <w:rsid w:val="3F9E2596"/>
    <w:rsid w:val="3FB3489A"/>
    <w:rsid w:val="3FC97212"/>
    <w:rsid w:val="3FDE8C60"/>
    <w:rsid w:val="3FE034BE"/>
    <w:rsid w:val="3FFD253E"/>
    <w:rsid w:val="40041DC9"/>
    <w:rsid w:val="401D10DD"/>
    <w:rsid w:val="40B61873"/>
    <w:rsid w:val="411C0569"/>
    <w:rsid w:val="41272213"/>
    <w:rsid w:val="41540B2E"/>
    <w:rsid w:val="415D1AAF"/>
    <w:rsid w:val="416C231C"/>
    <w:rsid w:val="41721A73"/>
    <w:rsid w:val="41741ECE"/>
    <w:rsid w:val="418331C2"/>
    <w:rsid w:val="41B714CE"/>
    <w:rsid w:val="41BC1BB4"/>
    <w:rsid w:val="41FC7CF6"/>
    <w:rsid w:val="42040BEF"/>
    <w:rsid w:val="420B7332"/>
    <w:rsid w:val="421B164C"/>
    <w:rsid w:val="421C7123"/>
    <w:rsid w:val="423C2C7E"/>
    <w:rsid w:val="42701998"/>
    <w:rsid w:val="42851D24"/>
    <w:rsid w:val="42D31F27"/>
    <w:rsid w:val="42F14FC3"/>
    <w:rsid w:val="43040332"/>
    <w:rsid w:val="430B0051"/>
    <w:rsid w:val="43294721"/>
    <w:rsid w:val="434906F1"/>
    <w:rsid w:val="43641051"/>
    <w:rsid w:val="43677726"/>
    <w:rsid w:val="437439A1"/>
    <w:rsid w:val="43FB34E3"/>
    <w:rsid w:val="440A3726"/>
    <w:rsid w:val="445157F9"/>
    <w:rsid w:val="44550E45"/>
    <w:rsid w:val="44986F84"/>
    <w:rsid w:val="44AF3321"/>
    <w:rsid w:val="44B80D28"/>
    <w:rsid w:val="44BD3C53"/>
    <w:rsid w:val="44FA379B"/>
    <w:rsid w:val="4538287E"/>
    <w:rsid w:val="453C2005"/>
    <w:rsid w:val="454D4439"/>
    <w:rsid w:val="45554E75"/>
    <w:rsid w:val="45B70BAF"/>
    <w:rsid w:val="45BA0898"/>
    <w:rsid w:val="45D75FC9"/>
    <w:rsid w:val="461068B4"/>
    <w:rsid w:val="46144D5D"/>
    <w:rsid w:val="46B75DE7"/>
    <w:rsid w:val="46BC102E"/>
    <w:rsid w:val="46F62A7D"/>
    <w:rsid w:val="46F85025"/>
    <w:rsid w:val="47094A53"/>
    <w:rsid w:val="47261D47"/>
    <w:rsid w:val="477041E8"/>
    <w:rsid w:val="4780267D"/>
    <w:rsid w:val="4799478F"/>
    <w:rsid w:val="47C3256A"/>
    <w:rsid w:val="47F78FE1"/>
    <w:rsid w:val="48015AC8"/>
    <w:rsid w:val="48284AC3"/>
    <w:rsid w:val="48362D3C"/>
    <w:rsid w:val="48381158"/>
    <w:rsid w:val="484505CA"/>
    <w:rsid w:val="484C2CA3"/>
    <w:rsid w:val="48656768"/>
    <w:rsid w:val="488C73A1"/>
    <w:rsid w:val="48AC5D02"/>
    <w:rsid w:val="48FF325B"/>
    <w:rsid w:val="493E5FBB"/>
    <w:rsid w:val="496547AD"/>
    <w:rsid w:val="49784744"/>
    <w:rsid w:val="49B546C3"/>
    <w:rsid w:val="49C34AA3"/>
    <w:rsid w:val="49C902C5"/>
    <w:rsid w:val="49CB1FB5"/>
    <w:rsid w:val="4A0F10CE"/>
    <w:rsid w:val="4A1672C9"/>
    <w:rsid w:val="4A1746C8"/>
    <w:rsid w:val="4A175E73"/>
    <w:rsid w:val="4A477482"/>
    <w:rsid w:val="4A633B90"/>
    <w:rsid w:val="4A6C5A80"/>
    <w:rsid w:val="4A8368B5"/>
    <w:rsid w:val="4A9511A8"/>
    <w:rsid w:val="4ADB406F"/>
    <w:rsid w:val="4B4A62F4"/>
    <w:rsid w:val="4B694D13"/>
    <w:rsid w:val="4BF95768"/>
    <w:rsid w:val="4C1573A3"/>
    <w:rsid w:val="4C520360"/>
    <w:rsid w:val="4C7D7706"/>
    <w:rsid w:val="4C9B1D07"/>
    <w:rsid w:val="4D113753"/>
    <w:rsid w:val="4D1B2795"/>
    <w:rsid w:val="4D203FBB"/>
    <w:rsid w:val="4D9FF55A"/>
    <w:rsid w:val="4DA641B8"/>
    <w:rsid w:val="4DBF18E4"/>
    <w:rsid w:val="4DF914D1"/>
    <w:rsid w:val="4E1368CA"/>
    <w:rsid w:val="4E2D63F2"/>
    <w:rsid w:val="4E3B6988"/>
    <w:rsid w:val="4E4168DE"/>
    <w:rsid w:val="4EC8490A"/>
    <w:rsid w:val="4EE51018"/>
    <w:rsid w:val="4EF10FC7"/>
    <w:rsid w:val="4F561542"/>
    <w:rsid w:val="4F734876"/>
    <w:rsid w:val="4F956BF2"/>
    <w:rsid w:val="4FC57BED"/>
    <w:rsid w:val="4FFD7766"/>
    <w:rsid w:val="503A5202"/>
    <w:rsid w:val="50AF796D"/>
    <w:rsid w:val="50F45001"/>
    <w:rsid w:val="51AB5956"/>
    <w:rsid w:val="51D06181"/>
    <w:rsid w:val="52273F7A"/>
    <w:rsid w:val="52592449"/>
    <w:rsid w:val="526F25CF"/>
    <w:rsid w:val="531A301E"/>
    <w:rsid w:val="531C5FF6"/>
    <w:rsid w:val="53344B94"/>
    <w:rsid w:val="533F47B1"/>
    <w:rsid w:val="53500458"/>
    <w:rsid w:val="537532D4"/>
    <w:rsid w:val="539B4F9B"/>
    <w:rsid w:val="53CC6C4A"/>
    <w:rsid w:val="53FF92BB"/>
    <w:rsid w:val="5401121D"/>
    <w:rsid w:val="54106B37"/>
    <w:rsid w:val="54732F7E"/>
    <w:rsid w:val="547B0ED4"/>
    <w:rsid w:val="547F49C7"/>
    <w:rsid w:val="54ED7E1B"/>
    <w:rsid w:val="552742FF"/>
    <w:rsid w:val="55402630"/>
    <w:rsid w:val="55431E97"/>
    <w:rsid w:val="55563836"/>
    <w:rsid w:val="556A60F5"/>
    <w:rsid w:val="556C6834"/>
    <w:rsid w:val="55735DDC"/>
    <w:rsid w:val="55775434"/>
    <w:rsid w:val="566D0DDB"/>
    <w:rsid w:val="566D4183"/>
    <w:rsid w:val="56B23ED5"/>
    <w:rsid w:val="56B24434"/>
    <w:rsid w:val="56B82DE4"/>
    <w:rsid w:val="5703167F"/>
    <w:rsid w:val="570B7A8A"/>
    <w:rsid w:val="57617B28"/>
    <w:rsid w:val="5767467E"/>
    <w:rsid w:val="57720E96"/>
    <w:rsid w:val="57A21802"/>
    <w:rsid w:val="57CE6149"/>
    <w:rsid w:val="57F24F2A"/>
    <w:rsid w:val="58624CFD"/>
    <w:rsid w:val="586B07E0"/>
    <w:rsid w:val="58821B71"/>
    <w:rsid w:val="58922210"/>
    <w:rsid w:val="58B029CE"/>
    <w:rsid w:val="58C90949"/>
    <w:rsid w:val="59BC3D40"/>
    <w:rsid w:val="59FD1400"/>
    <w:rsid w:val="5A032C9A"/>
    <w:rsid w:val="5A3C75BC"/>
    <w:rsid w:val="5A796407"/>
    <w:rsid w:val="5AF57843"/>
    <w:rsid w:val="5B2353A2"/>
    <w:rsid w:val="5B37902E"/>
    <w:rsid w:val="5B390072"/>
    <w:rsid w:val="5B417B48"/>
    <w:rsid w:val="5B490B80"/>
    <w:rsid w:val="5B4B48F9"/>
    <w:rsid w:val="5B602B8D"/>
    <w:rsid w:val="5B7FC429"/>
    <w:rsid w:val="5C031F8B"/>
    <w:rsid w:val="5C361105"/>
    <w:rsid w:val="5CB93880"/>
    <w:rsid w:val="5CE5510F"/>
    <w:rsid w:val="5D563A15"/>
    <w:rsid w:val="5D6BEE93"/>
    <w:rsid w:val="5DF41277"/>
    <w:rsid w:val="5E007C1C"/>
    <w:rsid w:val="5E5DCD11"/>
    <w:rsid w:val="5ECE3305"/>
    <w:rsid w:val="5ED920C1"/>
    <w:rsid w:val="5F7D85AC"/>
    <w:rsid w:val="5F97010C"/>
    <w:rsid w:val="5F9FDB64"/>
    <w:rsid w:val="5FCD7FD2"/>
    <w:rsid w:val="5FCF5AF8"/>
    <w:rsid w:val="5FE314D8"/>
    <w:rsid w:val="5FFDB7F3"/>
    <w:rsid w:val="607A09C6"/>
    <w:rsid w:val="608A1736"/>
    <w:rsid w:val="609D70BA"/>
    <w:rsid w:val="609F4FE8"/>
    <w:rsid w:val="60A56859"/>
    <w:rsid w:val="60B13450"/>
    <w:rsid w:val="613253CF"/>
    <w:rsid w:val="613F0A5C"/>
    <w:rsid w:val="61406D63"/>
    <w:rsid w:val="615A6B31"/>
    <w:rsid w:val="615C785F"/>
    <w:rsid w:val="61D309C1"/>
    <w:rsid w:val="621F43E9"/>
    <w:rsid w:val="622D5A78"/>
    <w:rsid w:val="622FE35A"/>
    <w:rsid w:val="62333B94"/>
    <w:rsid w:val="625C73EB"/>
    <w:rsid w:val="62940412"/>
    <w:rsid w:val="62A10321"/>
    <w:rsid w:val="62AA5758"/>
    <w:rsid w:val="62CA2E68"/>
    <w:rsid w:val="63644067"/>
    <w:rsid w:val="63732C3E"/>
    <w:rsid w:val="63846BFA"/>
    <w:rsid w:val="63AB687C"/>
    <w:rsid w:val="63AC7EFE"/>
    <w:rsid w:val="63C04E0D"/>
    <w:rsid w:val="645D0076"/>
    <w:rsid w:val="64615B78"/>
    <w:rsid w:val="64816C98"/>
    <w:rsid w:val="64E5439B"/>
    <w:rsid w:val="65CA501B"/>
    <w:rsid w:val="65DE7033"/>
    <w:rsid w:val="65E72516"/>
    <w:rsid w:val="667E5B82"/>
    <w:rsid w:val="669A2AA8"/>
    <w:rsid w:val="66AE5CE5"/>
    <w:rsid w:val="66C56598"/>
    <w:rsid w:val="67417566"/>
    <w:rsid w:val="677476CC"/>
    <w:rsid w:val="678C7DEF"/>
    <w:rsid w:val="67DF4E1C"/>
    <w:rsid w:val="68AF296B"/>
    <w:rsid w:val="68F4037D"/>
    <w:rsid w:val="690A4E0D"/>
    <w:rsid w:val="69D911D4"/>
    <w:rsid w:val="69EEC1BA"/>
    <w:rsid w:val="6A211646"/>
    <w:rsid w:val="6A56439B"/>
    <w:rsid w:val="6AA9734A"/>
    <w:rsid w:val="6B0D3978"/>
    <w:rsid w:val="6B317066"/>
    <w:rsid w:val="6B537E5F"/>
    <w:rsid w:val="6B6934A2"/>
    <w:rsid w:val="6B6F4633"/>
    <w:rsid w:val="6B741C1B"/>
    <w:rsid w:val="6BCB7ABB"/>
    <w:rsid w:val="6BEB0953"/>
    <w:rsid w:val="6BFD579B"/>
    <w:rsid w:val="6C1E4E98"/>
    <w:rsid w:val="6C38544E"/>
    <w:rsid w:val="6C423325"/>
    <w:rsid w:val="6CF05300"/>
    <w:rsid w:val="6CF97917"/>
    <w:rsid w:val="6D3276C6"/>
    <w:rsid w:val="6D9B2BEF"/>
    <w:rsid w:val="6E9A79E9"/>
    <w:rsid w:val="6ED0363B"/>
    <w:rsid w:val="6EDD3662"/>
    <w:rsid w:val="6EE42C42"/>
    <w:rsid w:val="6EEF1D13"/>
    <w:rsid w:val="6F040181"/>
    <w:rsid w:val="6F1304BA"/>
    <w:rsid w:val="6F3F60CB"/>
    <w:rsid w:val="6F457B85"/>
    <w:rsid w:val="6F7B0AEA"/>
    <w:rsid w:val="6FA91F61"/>
    <w:rsid w:val="6FC2EF68"/>
    <w:rsid w:val="6FC34F4E"/>
    <w:rsid w:val="6FD11419"/>
    <w:rsid w:val="6FD79C2C"/>
    <w:rsid w:val="6FE506ED"/>
    <w:rsid w:val="70173C53"/>
    <w:rsid w:val="701D2C39"/>
    <w:rsid w:val="70270955"/>
    <w:rsid w:val="70365454"/>
    <w:rsid w:val="703B0F88"/>
    <w:rsid w:val="70536B84"/>
    <w:rsid w:val="706C2AAB"/>
    <w:rsid w:val="70A1703D"/>
    <w:rsid w:val="70A450A0"/>
    <w:rsid w:val="70EF5EDC"/>
    <w:rsid w:val="71324139"/>
    <w:rsid w:val="71584144"/>
    <w:rsid w:val="71AB7A47"/>
    <w:rsid w:val="72474784"/>
    <w:rsid w:val="727214D3"/>
    <w:rsid w:val="72B36986"/>
    <w:rsid w:val="72B65C67"/>
    <w:rsid w:val="72FA6ED8"/>
    <w:rsid w:val="737A3BD9"/>
    <w:rsid w:val="738C1A2B"/>
    <w:rsid w:val="73B057E9"/>
    <w:rsid w:val="73B25989"/>
    <w:rsid w:val="73C372CA"/>
    <w:rsid w:val="73D34A56"/>
    <w:rsid w:val="73F62C83"/>
    <w:rsid w:val="73FF0D3F"/>
    <w:rsid w:val="740D4F28"/>
    <w:rsid w:val="74342309"/>
    <w:rsid w:val="743A427E"/>
    <w:rsid w:val="74511518"/>
    <w:rsid w:val="74C4449F"/>
    <w:rsid w:val="74DC5EBB"/>
    <w:rsid w:val="74EF29BE"/>
    <w:rsid w:val="74FA31C0"/>
    <w:rsid w:val="75047B9A"/>
    <w:rsid w:val="75542FDE"/>
    <w:rsid w:val="757F8979"/>
    <w:rsid w:val="75AC740F"/>
    <w:rsid w:val="75E308FE"/>
    <w:rsid w:val="75FB0A90"/>
    <w:rsid w:val="76143E0D"/>
    <w:rsid w:val="764211C6"/>
    <w:rsid w:val="766263C0"/>
    <w:rsid w:val="769D60E3"/>
    <w:rsid w:val="77226B8B"/>
    <w:rsid w:val="77646BE8"/>
    <w:rsid w:val="77911BC2"/>
    <w:rsid w:val="77AF825A"/>
    <w:rsid w:val="77C74EAF"/>
    <w:rsid w:val="77D5581E"/>
    <w:rsid w:val="77FBFD7C"/>
    <w:rsid w:val="78034139"/>
    <w:rsid w:val="782C7B34"/>
    <w:rsid w:val="78445FA5"/>
    <w:rsid w:val="784D7AAA"/>
    <w:rsid w:val="78551CF5"/>
    <w:rsid w:val="785E1CB7"/>
    <w:rsid w:val="787F7530"/>
    <w:rsid w:val="788A485A"/>
    <w:rsid w:val="788D77FD"/>
    <w:rsid w:val="78F626F0"/>
    <w:rsid w:val="78F9378E"/>
    <w:rsid w:val="79183CF7"/>
    <w:rsid w:val="795409C4"/>
    <w:rsid w:val="79690371"/>
    <w:rsid w:val="796B5F6C"/>
    <w:rsid w:val="79C55B71"/>
    <w:rsid w:val="79C618C2"/>
    <w:rsid w:val="79D36350"/>
    <w:rsid w:val="79E902C7"/>
    <w:rsid w:val="7A25365F"/>
    <w:rsid w:val="7A330BE3"/>
    <w:rsid w:val="7A5D747E"/>
    <w:rsid w:val="7A650EE2"/>
    <w:rsid w:val="7A861051"/>
    <w:rsid w:val="7A886B78"/>
    <w:rsid w:val="7AA03EC1"/>
    <w:rsid w:val="7AA53BCD"/>
    <w:rsid w:val="7AC1208A"/>
    <w:rsid w:val="7ACED049"/>
    <w:rsid w:val="7AD262B9"/>
    <w:rsid w:val="7B073F40"/>
    <w:rsid w:val="7B3FC75B"/>
    <w:rsid w:val="7B5FCC6A"/>
    <w:rsid w:val="7B8739B8"/>
    <w:rsid w:val="7BA76130"/>
    <w:rsid w:val="7BDF214B"/>
    <w:rsid w:val="7BED2F6D"/>
    <w:rsid w:val="7C6F2B32"/>
    <w:rsid w:val="7CABF43A"/>
    <w:rsid w:val="7CF44998"/>
    <w:rsid w:val="7D3E730D"/>
    <w:rsid w:val="7D511DEB"/>
    <w:rsid w:val="7D586CD5"/>
    <w:rsid w:val="7D5E2DD2"/>
    <w:rsid w:val="7D7934EC"/>
    <w:rsid w:val="7DBA4260"/>
    <w:rsid w:val="7DC35DEC"/>
    <w:rsid w:val="7DE62533"/>
    <w:rsid w:val="7DED5311"/>
    <w:rsid w:val="7E4E2D56"/>
    <w:rsid w:val="7E590F11"/>
    <w:rsid w:val="7E713215"/>
    <w:rsid w:val="7E72113A"/>
    <w:rsid w:val="7EDC636B"/>
    <w:rsid w:val="7EF10E29"/>
    <w:rsid w:val="7EF944E8"/>
    <w:rsid w:val="7F2F57EA"/>
    <w:rsid w:val="7F86217F"/>
    <w:rsid w:val="7F914720"/>
    <w:rsid w:val="7F945082"/>
    <w:rsid w:val="7FBBD460"/>
    <w:rsid w:val="7FDB3BED"/>
    <w:rsid w:val="7FDF36DE"/>
    <w:rsid w:val="7FE13C63"/>
    <w:rsid w:val="9356D4F2"/>
    <w:rsid w:val="93BB1F91"/>
    <w:rsid w:val="9F3F7C69"/>
    <w:rsid w:val="9FE70751"/>
    <w:rsid w:val="AFF55338"/>
    <w:rsid w:val="B397DF92"/>
    <w:rsid w:val="B7AD6BAF"/>
    <w:rsid w:val="B7B8B9C1"/>
    <w:rsid w:val="B7DE1548"/>
    <w:rsid w:val="B7EE0784"/>
    <w:rsid w:val="B7F54E70"/>
    <w:rsid w:val="BBB91F34"/>
    <w:rsid w:val="BBE79AC7"/>
    <w:rsid w:val="BDF3BD92"/>
    <w:rsid w:val="BE671F82"/>
    <w:rsid w:val="BEF70F69"/>
    <w:rsid w:val="BF67BF11"/>
    <w:rsid w:val="BFEC5174"/>
    <w:rsid w:val="CDFD5A74"/>
    <w:rsid w:val="CED76797"/>
    <w:rsid w:val="CF4AA6C8"/>
    <w:rsid w:val="CF7F8630"/>
    <w:rsid w:val="D7BB68F0"/>
    <w:rsid w:val="D7F73588"/>
    <w:rsid w:val="DEB5BF65"/>
    <w:rsid w:val="DF77B73D"/>
    <w:rsid w:val="DFFF2385"/>
    <w:rsid w:val="E6F94340"/>
    <w:rsid w:val="E74DDB32"/>
    <w:rsid w:val="E7BFB5CC"/>
    <w:rsid w:val="E9E9E440"/>
    <w:rsid w:val="EBF8BBE6"/>
    <w:rsid w:val="ECF7656E"/>
    <w:rsid w:val="EDBE1861"/>
    <w:rsid w:val="EDBEBE4D"/>
    <w:rsid w:val="EF6F6B94"/>
    <w:rsid w:val="F2EAD378"/>
    <w:rsid w:val="F3F0BB5C"/>
    <w:rsid w:val="F5BE7277"/>
    <w:rsid w:val="F5FEE9FB"/>
    <w:rsid w:val="F6FFB5AF"/>
    <w:rsid w:val="F7DF4E7F"/>
    <w:rsid w:val="F7F5C2DD"/>
    <w:rsid w:val="F7F89F95"/>
    <w:rsid w:val="F7FC5F60"/>
    <w:rsid w:val="F7FF45B1"/>
    <w:rsid w:val="F9AFD449"/>
    <w:rsid w:val="F9DFC8DB"/>
    <w:rsid w:val="FB1FDFF5"/>
    <w:rsid w:val="FBEB24B0"/>
    <w:rsid w:val="FC7BEDDD"/>
    <w:rsid w:val="FDFF8EDC"/>
    <w:rsid w:val="FEFF9F0B"/>
    <w:rsid w:val="FF3FF197"/>
    <w:rsid w:val="FF4B9A0C"/>
    <w:rsid w:val="FF7E4B05"/>
    <w:rsid w:val="FF7FC524"/>
    <w:rsid w:val="FFAF9795"/>
    <w:rsid w:val="FFFD4179"/>
    <w:rsid w:val="FFFFC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jc w:val="center"/>
      <w:outlineLvl w:val="1"/>
    </w:pPr>
    <w:rPr>
      <w:rFonts w:eastAsia="华文中宋" w:cs="Times New Roman"/>
      <w:b/>
      <w:bCs/>
      <w:szCs w:val="44"/>
    </w:rPr>
  </w:style>
  <w:style w:type="paragraph" w:styleId="4">
    <w:name w:val="heading 3"/>
    <w:basedOn w:val="1"/>
    <w:next w:val="1"/>
    <w:unhideWhenUsed/>
    <w:qFormat/>
    <w:uiPriority w:val="9"/>
    <w:pPr>
      <w:keepNext/>
      <w:keepLines/>
      <w:spacing w:before="260" w:after="260" w:line="416" w:lineRule="auto"/>
      <w:outlineLvl w:val="2"/>
    </w:pPr>
    <w:rPr>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420"/>
    </w:pPr>
    <w:rPr>
      <w:szCs w:val="21"/>
    </w:rPr>
  </w:style>
  <w:style w:type="paragraph" w:styleId="7">
    <w:name w:val="annotation text"/>
    <w:basedOn w:val="1"/>
    <w:semiHidden/>
    <w:unhideWhenUsed/>
    <w:qFormat/>
    <w:uiPriority w:val="99"/>
    <w:pPr>
      <w:jc w:val="left"/>
    </w:pPr>
  </w:style>
  <w:style w:type="paragraph" w:styleId="8">
    <w:name w:val="Body Text"/>
    <w:basedOn w:val="1"/>
    <w:next w:val="9"/>
    <w:qFormat/>
    <w:uiPriority w:val="99"/>
    <w:rPr>
      <w:rFonts w:ascii="仿宋_GB2312" w:eastAsia="仿宋_GB2312"/>
      <w:sz w:val="30"/>
    </w:rPr>
  </w:style>
  <w:style w:type="paragraph" w:customStyle="1" w:styleId="9">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0"/>
    <w:next w:val="1"/>
    <w:unhideWhenUsed/>
    <w:qFormat/>
    <w:uiPriority w:val="99"/>
    <w:pPr>
      <w:widowControl/>
      <w:wordWrap w:val="0"/>
      <w:ind w:firstLine="420" w:firstLineChars="200"/>
    </w:pPr>
    <w:rPr>
      <w:kern w:val="0"/>
      <w:sz w:val="20"/>
      <w:szCs w:val="20"/>
    </w:rPr>
  </w:style>
  <w:style w:type="paragraph" w:styleId="12">
    <w:name w:val="Plain Text"/>
    <w:basedOn w:val="1"/>
    <w:unhideWhenUsed/>
    <w:qFormat/>
    <w:uiPriority w:val="99"/>
    <w:rPr>
      <w:rFonts w:ascii="宋体" w:hAnsi="Courier New" w:eastAsia="宋体" w:cs="Courier New"/>
      <w:szCs w:val="21"/>
    </w:rPr>
  </w:style>
  <w:style w:type="paragraph" w:styleId="13">
    <w:name w:val="Body Text Indent 2"/>
    <w:basedOn w:val="1"/>
    <w:qFormat/>
    <w:uiPriority w:val="0"/>
    <w:pPr>
      <w:spacing w:after="120" w:line="480" w:lineRule="auto"/>
      <w:ind w:left="420" w:leftChars="200"/>
    </w:pPr>
    <w:rPr>
      <w:szCs w:val="21"/>
    </w:rPr>
  </w:style>
  <w:style w:type="paragraph" w:styleId="14">
    <w:name w:val="Balloon Text"/>
    <w:basedOn w:val="1"/>
    <w:link w:val="48"/>
    <w:semiHidden/>
    <w:unhideWhenUsed/>
    <w:qFormat/>
    <w:uiPriority w:val="99"/>
    <w:rPr>
      <w:sz w:val="18"/>
      <w:szCs w:val="18"/>
    </w:rPr>
  </w:style>
  <w:style w:type="paragraph" w:styleId="15">
    <w:name w:val="footer"/>
    <w:basedOn w:val="1"/>
    <w:next w:val="1"/>
    <w:link w:val="51"/>
    <w:unhideWhenUsed/>
    <w:qFormat/>
    <w:uiPriority w:val="99"/>
    <w:pPr>
      <w:tabs>
        <w:tab w:val="center" w:pos="4153"/>
        <w:tab w:val="right" w:pos="8306"/>
      </w:tabs>
      <w:snapToGrid w:val="0"/>
      <w:jc w:val="left"/>
    </w:pPr>
    <w:rPr>
      <w:sz w:val="18"/>
    </w:rPr>
  </w:style>
  <w:style w:type="paragraph" w:styleId="1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footnote text"/>
    <w:basedOn w:val="1"/>
    <w:unhideWhenUsed/>
    <w:qFormat/>
    <w:uiPriority w:val="99"/>
    <w:pPr>
      <w:snapToGrid w:val="0"/>
      <w:jc w:val="left"/>
    </w:pPr>
    <w:rPr>
      <w:sz w:val="18"/>
      <w:szCs w:val="18"/>
    </w:rPr>
  </w:style>
  <w:style w:type="paragraph" w:styleId="19">
    <w:name w:val="index 9"/>
    <w:basedOn w:val="1"/>
    <w:next w:val="1"/>
    <w:qFormat/>
    <w:uiPriority w:val="99"/>
    <w:pPr>
      <w:ind w:left="1600" w:leftChars="1600"/>
    </w:pPr>
  </w:style>
  <w:style w:type="paragraph" w:styleId="20">
    <w:name w:val="toc 2"/>
    <w:basedOn w:val="1"/>
    <w:next w:val="1"/>
    <w:unhideWhenUsed/>
    <w:qFormat/>
    <w:uiPriority w:val="39"/>
    <w:pPr>
      <w:ind w:left="420" w:left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23">
    <w:name w:val="Body Text First Indent"/>
    <w:basedOn w:val="8"/>
    <w:unhideWhenUsed/>
    <w:qFormat/>
    <w:uiPriority w:val="0"/>
    <w:pPr>
      <w:ind w:firstLine="420" w:firstLineChars="1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otnote reference"/>
    <w:basedOn w:val="26"/>
    <w:unhideWhenUsed/>
    <w:qFormat/>
    <w:uiPriority w:val="99"/>
    <w:rPr>
      <w:vertAlign w:val="superscript"/>
    </w:rPr>
  </w:style>
  <w:style w:type="paragraph" w:customStyle="1" w:styleId="29">
    <w:name w:val="样式1"/>
    <w:basedOn w:val="2"/>
    <w:qFormat/>
    <w:uiPriority w:val="0"/>
    <w:rPr>
      <w:rFonts w:ascii="黑体" w:hAnsi="黑体"/>
      <w:sz w:val="32"/>
      <w:szCs w:val="32"/>
    </w:rPr>
  </w:style>
  <w:style w:type="paragraph" w:customStyle="1" w:styleId="30">
    <w:name w:val="无间隔1"/>
    <w:qFormat/>
    <w:uiPriority w:val="0"/>
    <w:rPr>
      <w:rFonts w:ascii="Times New Roman" w:hAnsi="Times New Roman" w:eastAsia="宋体" w:cs="Times New Roman"/>
      <w:sz w:val="22"/>
      <w:szCs w:val="22"/>
      <w:lang w:val="en-US" w:eastAsia="zh-CN" w:bidi="ar-SA"/>
    </w:rPr>
  </w:style>
  <w:style w:type="paragraph" w:styleId="31">
    <w:name w:val="List Paragraph"/>
    <w:basedOn w:val="1"/>
    <w:qFormat/>
    <w:uiPriority w:val="34"/>
    <w:pPr>
      <w:ind w:firstLine="420" w:firstLineChars="200"/>
    </w:pPr>
  </w:style>
  <w:style w:type="paragraph" w:customStyle="1" w:styleId="32">
    <w:name w:val="表格"/>
    <w:basedOn w:val="1"/>
    <w:qFormat/>
    <w:uiPriority w:val="0"/>
    <w:pPr>
      <w:autoSpaceDN w:val="0"/>
      <w:jc w:val="center"/>
    </w:pPr>
    <w:rPr>
      <w:rFonts w:ascii="Verdana" w:hAnsi="Verdana" w:eastAsia="仿宋_GB2312" w:cs="Times New Roman"/>
      <w:bCs/>
      <w:sz w:val="24"/>
      <w:szCs w:val="21"/>
      <w:lang w:eastAsia="en-US"/>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font11"/>
    <w:basedOn w:val="26"/>
    <w:qFormat/>
    <w:uiPriority w:val="0"/>
    <w:rPr>
      <w:rFonts w:ascii="仿宋" w:hAnsi="仿宋" w:eastAsia="仿宋" w:cs="仿宋"/>
      <w:color w:val="000000"/>
      <w:sz w:val="24"/>
      <w:szCs w:val="24"/>
      <w:u w:val="none"/>
    </w:rPr>
  </w:style>
  <w:style w:type="paragraph" w:customStyle="1" w:styleId="36">
    <w:name w:val="二级"/>
    <w:basedOn w:val="1"/>
    <w:qFormat/>
    <w:uiPriority w:val="0"/>
    <w:pPr>
      <w:autoSpaceDN w:val="0"/>
      <w:spacing w:line="400" w:lineRule="exact"/>
      <w:outlineLvl w:val="2"/>
    </w:pPr>
    <w:rPr>
      <w:rFonts w:ascii="宋体" w:hAnsi="宋体"/>
      <w:b/>
      <w:bCs/>
      <w:sz w:val="28"/>
      <w:szCs w:val="28"/>
      <w:lang w:eastAsia="en-US"/>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bjh-p"/>
    <w:basedOn w:val="26"/>
    <w:qFormat/>
    <w:uiPriority w:val="0"/>
  </w:style>
  <w:style w:type="paragraph" w:customStyle="1" w:styleId="40">
    <w:name w:val="标题3"/>
    <w:basedOn w:val="1"/>
    <w:next w:val="1"/>
    <w:qFormat/>
    <w:uiPriority w:val="0"/>
    <w:pPr>
      <w:snapToGrid w:val="0"/>
      <w:spacing w:line="360" w:lineRule="auto"/>
      <w:ind w:firstLine="200" w:firstLineChars="200"/>
      <w:outlineLvl w:val="2"/>
    </w:pPr>
    <w:rPr>
      <w:rFonts w:ascii="仿宋_GB2312" w:hAnsi="华文宋体" w:eastAsia="仿宋_GB2312"/>
      <w:sz w:val="32"/>
      <w:szCs w:val="32"/>
    </w:rPr>
  </w:style>
  <w:style w:type="character" w:customStyle="1" w:styleId="41">
    <w:name w:val="font41"/>
    <w:basedOn w:val="26"/>
    <w:qFormat/>
    <w:uiPriority w:val="0"/>
    <w:rPr>
      <w:rFonts w:hint="eastAsia" w:ascii="宋体" w:hAnsi="宋体" w:eastAsia="宋体" w:cs="宋体"/>
      <w:color w:val="000000"/>
      <w:sz w:val="20"/>
      <w:szCs w:val="20"/>
      <w:u w:val="none"/>
    </w:rPr>
  </w:style>
  <w:style w:type="character" w:customStyle="1" w:styleId="42">
    <w:name w:val="font01"/>
    <w:basedOn w:val="26"/>
    <w:qFormat/>
    <w:uiPriority w:val="0"/>
    <w:rPr>
      <w:rFonts w:hint="eastAsia" w:ascii="宋体" w:hAnsi="宋体" w:eastAsia="宋体" w:cs="宋体"/>
      <w:color w:val="000000"/>
      <w:sz w:val="20"/>
      <w:szCs w:val="20"/>
      <w:u w:val="none"/>
    </w:rPr>
  </w:style>
  <w:style w:type="character" w:customStyle="1" w:styleId="43">
    <w:name w:val="fontstyle01"/>
    <w:basedOn w:val="26"/>
    <w:qFormat/>
    <w:uiPriority w:val="0"/>
    <w:rPr>
      <w:rFonts w:ascii="仿宋_GB2312" w:hAnsi="仿宋_GB2312" w:eastAsia="仿宋_GB2312" w:cs="仿宋_GB2312"/>
      <w:color w:val="000000"/>
      <w:sz w:val="32"/>
      <w:szCs w:val="32"/>
    </w:rPr>
  </w:style>
  <w:style w:type="character" w:customStyle="1" w:styleId="44">
    <w:name w:val="font71"/>
    <w:basedOn w:val="26"/>
    <w:qFormat/>
    <w:uiPriority w:val="0"/>
    <w:rPr>
      <w:rFonts w:hint="eastAsia" w:ascii="宋体" w:hAnsi="宋体" w:eastAsia="宋体" w:cs="宋体"/>
      <w:b/>
      <w:bCs/>
      <w:color w:val="000000"/>
      <w:sz w:val="20"/>
      <w:szCs w:val="20"/>
      <w:u w:val="none"/>
    </w:rPr>
  </w:style>
  <w:style w:type="character" w:customStyle="1" w:styleId="45">
    <w:name w:val="font61"/>
    <w:basedOn w:val="26"/>
    <w:qFormat/>
    <w:uiPriority w:val="0"/>
    <w:rPr>
      <w:rFonts w:hint="eastAsia" w:ascii="宋体" w:hAnsi="宋体" w:eastAsia="宋体" w:cs="宋体"/>
      <w:color w:val="000000"/>
      <w:sz w:val="18"/>
      <w:szCs w:val="18"/>
      <w:u w:val="none"/>
    </w:rPr>
  </w:style>
  <w:style w:type="character" w:customStyle="1" w:styleId="46">
    <w:name w:val="font21"/>
    <w:basedOn w:val="26"/>
    <w:qFormat/>
    <w:uiPriority w:val="0"/>
    <w:rPr>
      <w:rFonts w:ascii="等线" w:hAnsi="等线" w:eastAsia="等线" w:cs="等线"/>
      <w:color w:val="000000"/>
      <w:sz w:val="20"/>
      <w:szCs w:val="20"/>
      <w:u w:val="none"/>
    </w:rPr>
  </w:style>
  <w:style w:type="character" w:customStyle="1" w:styleId="47">
    <w:name w:val="font81"/>
    <w:basedOn w:val="26"/>
    <w:qFormat/>
    <w:uiPriority w:val="0"/>
    <w:rPr>
      <w:rFonts w:hint="eastAsia" w:ascii="等线" w:hAnsi="等线" w:eastAsia="等线" w:cs="等线"/>
      <w:color w:val="000000"/>
      <w:sz w:val="18"/>
      <w:szCs w:val="18"/>
      <w:u w:val="none"/>
    </w:rPr>
  </w:style>
  <w:style w:type="character" w:customStyle="1" w:styleId="48">
    <w:name w:val="批注框文本 字符"/>
    <w:basedOn w:val="26"/>
    <w:link w:val="14"/>
    <w:semiHidden/>
    <w:qFormat/>
    <w:uiPriority w:val="99"/>
    <w:rPr>
      <w:rFonts w:asciiTheme="minorHAnsi" w:hAnsiTheme="minorHAnsi" w:eastAsiaTheme="minorEastAsia" w:cstheme="minorBidi"/>
      <w:kern w:val="2"/>
      <w:sz w:val="18"/>
      <w:szCs w:val="18"/>
    </w:rPr>
  </w:style>
  <w:style w:type="character" w:customStyle="1" w:styleId="49">
    <w:name w:val="font51"/>
    <w:basedOn w:val="26"/>
    <w:qFormat/>
    <w:uiPriority w:val="0"/>
    <w:rPr>
      <w:rFonts w:hint="eastAsia" w:ascii="宋体" w:hAnsi="宋体" w:eastAsia="宋体" w:cs="宋体"/>
      <w:color w:val="000000"/>
      <w:sz w:val="18"/>
      <w:szCs w:val="18"/>
      <w:u w:val="none"/>
    </w:rPr>
  </w:style>
  <w:style w:type="character" w:customStyle="1" w:styleId="50">
    <w:name w:val="font31"/>
    <w:basedOn w:val="26"/>
    <w:qFormat/>
    <w:uiPriority w:val="0"/>
    <w:rPr>
      <w:rFonts w:hint="eastAsia" w:ascii="宋体" w:hAnsi="宋体" w:eastAsia="宋体" w:cs="宋体"/>
      <w:b/>
      <w:bCs/>
      <w:color w:val="000000"/>
      <w:sz w:val="18"/>
      <w:szCs w:val="18"/>
      <w:u w:val="none"/>
    </w:rPr>
  </w:style>
  <w:style w:type="character" w:customStyle="1" w:styleId="51">
    <w:name w:val="页脚 字符"/>
    <w:basedOn w:val="26"/>
    <w:link w:val="15"/>
    <w:qFormat/>
    <w:uiPriority w:val="99"/>
    <w:rPr>
      <w:rFonts w:asciiTheme="minorHAnsi" w:hAnsiTheme="minorHAnsi" w:eastAsiaTheme="minorEastAsia" w:cstheme="minorBidi"/>
      <w:kern w:val="2"/>
      <w:sz w:val="18"/>
      <w:szCs w:val="22"/>
    </w:rPr>
  </w:style>
  <w:style w:type="character" w:customStyle="1" w:styleId="52">
    <w:name w:val="NormalCharacter"/>
    <w:semiHidden/>
    <w:qFormat/>
    <w:uiPriority w:val="0"/>
  </w:style>
  <w:style w:type="paragraph" w:customStyle="1" w:styleId="53">
    <w:name w:val="报告正文"/>
    <w:basedOn w:val="1"/>
    <w:qFormat/>
    <w:uiPriority w:val="0"/>
    <w:pPr>
      <w:adjustRightInd w:val="0"/>
      <w:snapToGrid w:val="0"/>
      <w:spacing w:line="400" w:lineRule="exact"/>
      <w:ind w:firstLine="560"/>
    </w:pPr>
    <w:rPr>
      <w:rFonts w:ascii="宋体" w:hAnsi="宋体"/>
      <w:kern w:val="0"/>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253</Words>
  <Characters>268</Characters>
  <Lines>83</Lines>
  <Paragraphs>23</Paragraphs>
  <TotalTime>24</TotalTime>
  <ScaleCrop>false</ScaleCrop>
  <LinksUpToDate>false</LinksUpToDate>
  <CharactersWithSpaces>328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2024-05-19T00:10:00Z</dcterms:created>
  <dc:creator>玥</dc:creator>
  <cp:lastModifiedBy>微信用户</cp:lastModifiedBy>
  <cp:lastPrinted>2025-07-27T07:49:00Z</cp:lastPrinted>
  <dcterms:modified xsi:type="dcterms:W3CDTF">2025-09-05T07:04:09Z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E0940B6EE0760E6804C77568B8AA842E</vt:lpwstr>
  </property>
  <property fmtid="{D5CDD505-2E9C-101B-9397-08002B2CF9AE}" pid="4" name="KSOTemplateDocerSaveRecord">
    <vt:lpwstr>eyJoZGlkIjoiYzAyOTQ4YWExNThjMjg0MTNlNWZjNmU4NDAyNmNkNjkiLCJ1c2VySWQiOiIxMzcyNTc3MDYyIn0=</vt:lpwstr>
  </property>
</Properties>
</file>