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方正小标宋简体" w:eastAsia="方正小标宋简体" w:cs="方正小标宋简体"/>
          <w:bCs/>
          <w:color w:val="000000"/>
          <w:kern w:val="16"/>
          <w:sz w:val="44"/>
          <w:szCs w:val="44"/>
        </w:rPr>
      </w:pPr>
      <w:bookmarkStart w:id="0" w:name="_Toc15793"/>
      <w:bookmarkStart w:id="1" w:name="_Toc764"/>
      <w:r>
        <w:rPr>
          <w:rFonts w:hint="eastAsia" w:ascii="方正小标宋简体" w:hAnsi="方正小标宋简体" w:eastAsia="方正小标宋简体" w:cs="方正小标宋简体"/>
          <w:bCs/>
          <w:color w:val="000000"/>
          <w:kern w:val="16"/>
          <w:sz w:val="44"/>
          <w:szCs w:val="44"/>
        </w:rPr>
        <w:t>北京市人民政府天安门地区管理委员会</w:t>
      </w:r>
      <w:bookmarkEnd w:id="0"/>
      <w:bookmarkEnd w:id="1"/>
    </w:p>
    <w:p>
      <w:pPr>
        <w:adjustRightInd w:val="0"/>
        <w:snapToGrid w:val="0"/>
        <w:spacing w:line="600" w:lineRule="exact"/>
        <w:jc w:val="center"/>
        <w:outlineLvl w:val="0"/>
        <w:rPr>
          <w:rFonts w:hint="eastAsia" w:ascii="方正小标宋简体" w:hAnsi="方正小标宋简体" w:eastAsia="方正小标宋简体" w:cs="方正小标宋简体"/>
          <w:bCs/>
          <w:kern w:val="0"/>
          <w:sz w:val="44"/>
          <w:szCs w:val="44"/>
        </w:rPr>
      </w:pPr>
      <w:bookmarkStart w:id="2" w:name="_Toc10282"/>
      <w:bookmarkStart w:id="3" w:name="_Toc17581"/>
      <w:r>
        <w:rPr>
          <w:rFonts w:hint="eastAsia" w:ascii="方正小标宋简体" w:hAnsi="方正小标宋简体" w:eastAsia="方正小标宋简体" w:cs="方正小标宋简体"/>
          <w:bCs/>
          <w:kern w:val="0"/>
          <w:sz w:val="44"/>
          <w:szCs w:val="44"/>
        </w:rPr>
        <w:t>2022年项目支出绩效评价报告</w:t>
      </w:r>
      <w:bookmarkEnd w:id="2"/>
      <w:bookmarkEnd w:id="3"/>
    </w:p>
    <w:p>
      <w:pPr>
        <w:spacing w:line="600" w:lineRule="exact"/>
        <w:ind w:left="-21" w:leftChars="-10" w:right="42" w:rightChars="20" w:firstLine="640" w:firstLineChars="200"/>
        <w:rPr>
          <w:rFonts w:eastAsia="仿宋"/>
          <w:color w:val="000000"/>
          <w:kern w:val="0"/>
          <w:sz w:val="32"/>
          <w:szCs w:val="32"/>
        </w:rPr>
      </w:pPr>
      <w:bookmarkStart w:id="144" w:name="_GoBack"/>
      <w:bookmarkEnd w:id="144"/>
    </w:p>
    <w:p>
      <w:pPr>
        <w:adjustRightInd w:val="0"/>
        <w:snapToGrid w:val="0"/>
        <w:spacing w:line="600" w:lineRule="exact"/>
        <w:ind w:firstLine="640" w:firstLineChars="200"/>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为贯彻落实《中共中央 国务院关于全面实施预算绩效管理的意见》（中发〔2018〕34号）、《北京市预算绩效管理办法》（京财绩效〔2019〕2129号）、《北京市项目支出绩效评价管理办法》（京财绩效〔2020〕2146号）的精神，根据北京市财政局《关于2023年推进全面实施预算绩效管理工作的预通知》的要求，提高财政支出管理水平，检验财政支出预期目标实现程度，考核财政支出效率和综合效果，为以后年度财政资金安排提供重要依据，北京市人民政府天安门地区管理委员会（以下简称“天安门地区管委会”）成立评价工作组对“2022年天安门广场东西侧路及国旗护卫队移动卫生间服务”项目进行评价，具体情况如下：</w:t>
      </w:r>
    </w:p>
    <w:p>
      <w:pPr>
        <w:tabs>
          <w:tab w:val="left" w:pos="6771"/>
        </w:tabs>
        <w:adjustRightInd w:val="0"/>
        <w:snapToGrid w:val="0"/>
        <w:spacing w:line="600" w:lineRule="exact"/>
        <w:ind w:firstLine="640" w:firstLineChars="200"/>
        <w:outlineLvl w:val="0"/>
        <w:rPr>
          <w:rFonts w:eastAsia="黑体"/>
          <w:bCs/>
          <w:kern w:val="0"/>
          <w:sz w:val="32"/>
          <w:szCs w:val="28"/>
        </w:rPr>
      </w:pPr>
      <w:bookmarkStart w:id="4" w:name="_Toc31546"/>
      <w:bookmarkStart w:id="5" w:name="_Toc2362"/>
      <w:bookmarkStart w:id="6" w:name="_Toc21684"/>
      <w:bookmarkStart w:id="7" w:name="_Toc31349"/>
      <w:r>
        <w:rPr>
          <w:rFonts w:eastAsia="黑体"/>
          <w:bCs/>
          <w:kern w:val="0"/>
          <w:sz w:val="32"/>
          <w:szCs w:val="28"/>
        </w:rPr>
        <w:t>一、项目基本情况</w:t>
      </w:r>
      <w:bookmarkEnd w:id="4"/>
      <w:bookmarkEnd w:id="5"/>
      <w:bookmarkEnd w:id="6"/>
      <w:r>
        <w:rPr>
          <w:rFonts w:eastAsia="黑体"/>
          <w:bCs/>
          <w:kern w:val="0"/>
          <w:sz w:val="32"/>
          <w:szCs w:val="28"/>
        </w:rPr>
        <w:tab/>
      </w:r>
      <w:r>
        <w:rPr>
          <w:rFonts w:eastAsia="黑体"/>
          <w:bCs/>
          <w:kern w:val="0"/>
          <w:sz w:val="32"/>
          <w:szCs w:val="28"/>
        </w:rPr>
        <w:tab/>
      </w:r>
    </w:p>
    <w:p>
      <w:pPr>
        <w:adjustRightInd w:val="0"/>
        <w:snapToGrid w:val="0"/>
        <w:spacing w:line="600" w:lineRule="exact"/>
        <w:ind w:firstLine="640" w:firstLineChars="200"/>
        <w:outlineLvl w:val="1"/>
        <w:rPr>
          <w:rFonts w:eastAsia="楷体_GB2312"/>
          <w:sz w:val="32"/>
          <w:szCs w:val="32"/>
        </w:rPr>
      </w:pPr>
      <w:bookmarkStart w:id="8" w:name="_Toc27678"/>
      <w:bookmarkStart w:id="9" w:name="_Toc1644"/>
      <w:bookmarkStart w:id="10" w:name="_Toc27142"/>
      <w:bookmarkStart w:id="11" w:name="_Toc3031"/>
      <w:bookmarkStart w:id="12" w:name="_Toc17454"/>
      <w:r>
        <w:rPr>
          <w:rFonts w:eastAsia="楷体_GB2312"/>
          <w:sz w:val="32"/>
          <w:szCs w:val="32"/>
        </w:rPr>
        <w:t>（一）项目概况</w:t>
      </w:r>
      <w:bookmarkEnd w:id="8"/>
      <w:bookmarkEnd w:id="9"/>
      <w:bookmarkEnd w:id="10"/>
      <w:bookmarkEnd w:id="11"/>
      <w:bookmarkEnd w:id="12"/>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1.项目基本信息</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项目名称：</w:t>
      </w:r>
      <w:bookmarkEnd w:id="7"/>
      <w:r>
        <w:rPr>
          <w:rFonts w:hint="eastAsia" w:ascii="仿宋_GB2312" w:hAnsi="方正仿宋_GBK" w:eastAsia="仿宋_GB2312" w:cs="方正仿宋_GBK"/>
          <w:bCs/>
          <w:sz w:val="32"/>
          <w:szCs w:val="32"/>
        </w:rPr>
        <w:t>2022年天安门广场东西侧路及国旗护卫队移动卫生间服务</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实施部门：天安门地区综合管理服务中心（以下简称“服务中心”）</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项目类型：延续项目</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2.立项背景</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解决天安门广场公共卫生间供给不足、游客如厕难、等候时间长等问题，每年旅游旺季期间，在广场东侧路南口、广场西侧路安检棚南侧、毛主席纪念堂南侧适当位置各增设2座移动卫生间（含配属设施）；为解决国旗护卫队官兵如厕问题，全年在东朝房驻地设置3座移动卫生间。经天安门地区管委会研究决定，每年将天安门广场东西侧路及国旗护卫队移动卫生间服务项目列入年度工作计划，并向北京市财政局申报年度项目经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3.项目主要内容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在天安门广场东侧路、西侧路及毛主席纪念堂南侧三处，共设置6座移动卫生间，于2022年4月1日至2022年11月15日期间提供服务。总厕位数不少于30个，每座类型均为水冲式，共配备水车2部、抽车2部、运输车4部、小型吊车2部。每处配备至少2名保洁人员（男女各1人），负责门前三包、厕内及周边卫生，为游客无偿提供卫生纸、洗手液等服务，并在服务结束后清洁现场。</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在国旗护卫队东朝房驻地营区内设置3座移动卫生间，并提供全年24小时服务，提供通风采暖设施，配备水车1部，抽车1部、运输车1部、小型吊车1部，配备2名维护人员，按照国旗护卫队要求及时对移动卫生间的水阀、灯、风扇、门锁、拉手等进行更换维护，并保障环卫服务。为保证卫生间24小时处于可用状态，每日6时至22时安排1名人员现场值班值守，进行维护保障、提供卫生间水源保障，重大节假日、重大活动期间根据需要对游客和活动保障人员开放。</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4.资金投入和使用情况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（1）资金投入情况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2022年天安门广场东西侧路及国旗护卫队移动卫生间服务项目预算安排497.18万元，其中天安门广场东西侧路及毛主席纪念堂南侧移动卫生间服务当年预算拨款445.08万元，国旗护卫队移动卫生间服务当年预算拨款52.10万元。</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（2）资金使用情况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天安门广场东西侧路及国旗护卫队移动卫生间服务项目为延续性项目</w:t>
      </w:r>
      <w:r>
        <w:rPr>
          <w:rFonts w:hint="eastAsia" w:ascii="仿宋_GB2312" w:hAnsi="方正仿宋_GBK" w:eastAsia="仿宋_GB2312" w:cs="方正仿宋_GBK"/>
          <w:bCs/>
          <w:sz w:val="32"/>
          <w:szCs w:val="32"/>
        </w:rPr>
        <w:t>，资金使用情况</w:t>
      </w:r>
      <w:r>
        <w:rPr>
          <w:rFonts w:ascii="仿宋_GB2312" w:hAnsi="方正仿宋_GBK" w:eastAsia="仿宋_GB2312" w:cs="方正仿宋_GBK"/>
          <w:bCs/>
          <w:sz w:val="32"/>
          <w:szCs w:val="32"/>
        </w:rPr>
        <w:t>见下表：</w:t>
      </w:r>
    </w:p>
    <w:p>
      <w:pPr>
        <w:adjustRightInd w:val="0"/>
        <w:snapToGrid w:val="0"/>
        <w:spacing w:afterLines="50" w:line="600" w:lineRule="exact"/>
        <w:jc w:val="center"/>
        <w:rPr>
          <w:rFonts w:eastAsia="黑体"/>
          <w:sz w:val="28"/>
          <w:szCs w:val="28"/>
        </w:rPr>
      </w:pPr>
      <w:r>
        <w:rPr>
          <w:rFonts w:eastAsia="黑体"/>
          <w:sz w:val="28"/>
          <w:szCs w:val="28"/>
        </w:rPr>
        <w:t>项目</w:t>
      </w:r>
      <w:r>
        <w:rPr>
          <w:rFonts w:hint="eastAsia" w:eastAsia="黑体"/>
          <w:sz w:val="28"/>
          <w:szCs w:val="28"/>
        </w:rPr>
        <w:t>资金情况</w:t>
      </w:r>
      <w:r>
        <w:rPr>
          <w:rFonts w:eastAsia="黑体"/>
          <w:sz w:val="28"/>
          <w:szCs w:val="28"/>
        </w:rPr>
        <w:t>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3286"/>
        <w:gridCol w:w="1868"/>
        <w:gridCol w:w="16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4" w:type="pct"/>
            <w:vAlign w:val="center"/>
          </w:tcPr>
          <w:p>
            <w:pPr>
              <w:widowControl/>
              <w:jc w:val="center"/>
              <w:textAlignment w:val="center"/>
              <w:rPr>
                <w:b/>
                <w:bCs/>
                <w:kern w:val="0"/>
                <w:szCs w:val="21"/>
              </w:rPr>
            </w:pPr>
            <w:r>
              <w:rPr>
                <w:b/>
                <w:bCs/>
                <w:kern w:val="0"/>
                <w:szCs w:val="21"/>
              </w:rPr>
              <w:t>序号</w:t>
            </w:r>
          </w:p>
        </w:tc>
        <w:tc>
          <w:tcPr>
            <w:tcW w:w="1812" w:type="pct"/>
            <w:vAlign w:val="center"/>
          </w:tcPr>
          <w:p>
            <w:pPr>
              <w:widowControl/>
              <w:jc w:val="center"/>
              <w:textAlignment w:val="center"/>
              <w:rPr>
                <w:b/>
                <w:bCs/>
                <w:kern w:val="0"/>
                <w:szCs w:val="21"/>
              </w:rPr>
            </w:pPr>
            <w:r>
              <w:rPr>
                <w:b/>
                <w:bCs/>
                <w:kern w:val="0"/>
                <w:szCs w:val="21"/>
              </w:rPr>
              <w:t>项目名称</w:t>
            </w:r>
          </w:p>
        </w:tc>
        <w:tc>
          <w:tcPr>
            <w:tcW w:w="1031" w:type="pct"/>
            <w:vAlign w:val="center"/>
          </w:tcPr>
          <w:p>
            <w:pPr>
              <w:widowControl/>
              <w:jc w:val="center"/>
              <w:textAlignment w:val="center"/>
              <w:rPr>
                <w:b/>
                <w:bCs/>
                <w:kern w:val="0"/>
                <w:szCs w:val="21"/>
              </w:rPr>
            </w:pPr>
            <w:r>
              <w:rPr>
                <w:rFonts w:hint="eastAsia"/>
                <w:b/>
                <w:bCs/>
                <w:kern w:val="0"/>
                <w:szCs w:val="21"/>
              </w:rPr>
              <w:t>全年预算数</w:t>
            </w:r>
          </w:p>
          <w:p>
            <w:pPr>
              <w:widowControl/>
              <w:jc w:val="center"/>
              <w:textAlignment w:val="center"/>
              <w:rPr>
                <w:b/>
                <w:bCs/>
                <w:kern w:val="0"/>
                <w:szCs w:val="21"/>
              </w:rPr>
            </w:pPr>
            <w:r>
              <w:rPr>
                <w:b/>
                <w:bCs/>
                <w:kern w:val="0"/>
                <w:szCs w:val="21"/>
              </w:rPr>
              <w:t>（</w:t>
            </w:r>
            <w:r>
              <w:rPr>
                <w:rFonts w:hint="eastAsia"/>
                <w:b/>
                <w:bCs/>
                <w:kern w:val="0"/>
                <w:szCs w:val="21"/>
              </w:rPr>
              <w:t>万</w:t>
            </w:r>
            <w:r>
              <w:rPr>
                <w:b/>
                <w:bCs/>
                <w:kern w:val="0"/>
                <w:szCs w:val="21"/>
              </w:rPr>
              <w:t>元）</w:t>
            </w:r>
          </w:p>
        </w:tc>
        <w:tc>
          <w:tcPr>
            <w:tcW w:w="898" w:type="pct"/>
            <w:vAlign w:val="center"/>
          </w:tcPr>
          <w:p>
            <w:pPr>
              <w:widowControl/>
              <w:jc w:val="center"/>
              <w:textAlignment w:val="center"/>
              <w:rPr>
                <w:b/>
                <w:bCs/>
              </w:rPr>
            </w:pPr>
            <w:r>
              <w:rPr>
                <w:rFonts w:hint="eastAsia"/>
                <w:b/>
                <w:bCs/>
              </w:rPr>
              <w:t>全年执行数</w:t>
            </w:r>
          </w:p>
          <w:p>
            <w:pPr>
              <w:widowControl/>
              <w:jc w:val="center"/>
              <w:textAlignment w:val="center"/>
            </w:pPr>
            <w:r>
              <w:rPr>
                <w:b/>
                <w:bCs/>
                <w:kern w:val="0"/>
                <w:szCs w:val="21"/>
              </w:rPr>
              <w:t>（</w:t>
            </w:r>
            <w:r>
              <w:rPr>
                <w:rFonts w:hint="eastAsia"/>
                <w:b/>
                <w:bCs/>
                <w:kern w:val="0"/>
                <w:szCs w:val="21"/>
              </w:rPr>
              <w:t>万</w:t>
            </w:r>
            <w:r>
              <w:rPr>
                <w:b/>
                <w:bCs/>
                <w:kern w:val="0"/>
                <w:szCs w:val="21"/>
              </w:rPr>
              <w:t>元）</w:t>
            </w:r>
          </w:p>
        </w:tc>
        <w:tc>
          <w:tcPr>
            <w:tcW w:w="732" w:type="pct"/>
            <w:vAlign w:val="center"/>
          </w:tcPr>
          <w:p>
            <w:pPr>
              <w:widowControl/>
              <w:jc w:val="center"/>
              <w:textAlignment w:val="center"/>
              <w:rPr>
                <w:b/>
                <w:bCs/>
                <w:kern w:val="0"/>
                <w:szCs w:val="21"/>
              </w:rPr>
            </w:pPr>
            <w:r>
              <w:rPr>
                <w:rFonts w:hint="eastAsia"/>
                <w:b/>
                <w:bCs/>
                <w:kern w:val="0"/>
                <w:szCs w:val="21"/>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524" w:type="pct"/>
            <w:vAlign w:val="center"/>
          </w:tcPr>
          <w:p>
            <w:pPr>
              <w:widowControl/>
              <w:jc w:val="center"/>
              <w:textAlignment w:val="center"/>
              <w:rPr>
                <w:kern w:val="0"/>
                <w:szCs w:val="21"/>
              </w:rPr>
            </w:pPr>
            <w:r>
              <w:rPr>
                <w:kern w:val="0"/>
                <w:szCs w:val="21"/>
              </w:rPr>
              <w:t>1</w:t>
            </w:r>
          </w:p>
        </w:tc>
        <w:tc>
          <w:tcPr>
            <w:tcW w:w="1812" w:type="pct"/>
            <w:vAlign w:val="center"/>
          </w:tcPr>
          <w:p>
            <w:pPr>
              <w:widowControl/>
              <w:jc w:val="center"/>
              <w:textAlignment w:val="center"/>
              <w:rPr>
                <w:kern w:val="0"/>
                <w:szCs w:val="21"/>
              </w:rPr>
            </w:pPr>
            <w:r>
              <w:rPr>
                <w:rFonts w:hint="eastAsia"/>
                <w:kern w:val="0"/>
                <w:szCs w:val="21"/>
              </w:rPr>
              <w:t>天安门广场</w:t>
            </w:r>
            <w:r>
              <w:rPr>
                <w:kern w:val="0"/>
                <w:szCs w:val="21"/>
              </w:rPr>
              <w:t>东西侧路及毛主席纪念堂南侧</w:t>
            </w:r>
            <w:r>
              <w:rPr>
                <w:rFonts w:hint="eastAsia"/>
                <w:kern w:val="0"/>
                <w:szCs w:val="21"/>
              </w:rPr>
              <w:t>移动卫生间服务</w:t>
            </w:r>
          </w:p>
        </w:tc>
        <w:tc>
          <w:tcPr>
            <w:tcW w:w="1031" w:type="pct"/>
            <w:vAlign w:val="center"/>
          </w:tcPr>
          <w:p>
            <w:pPr>
              <w:widowControl/>
              <w:jc w:val="center"/>
              <w:textAlignment w:val="center"/>
              <w:rPr>
                <w:kern w:val="0"/>
                <w:szCs w:val="21"/>
              </w:rPr>
            </w:pPr>
            <w:r>
              <w:rPr>
                <w:rFonts w:hint="eastAsia"/>
                <w:kern w:val="0"/>
                <w:szCs w:val="21"/>
              </w:rPr>
              <w:t>445.08</w:t>
            </w:r>
          </w:p>
        </w:tc>
        <w:tc>
          <w:tcPr>
            <w:tcW w:w="898" w:type="pct"/>
            <w:vAlign w:val="center"/>
          </w:tcPr>
          <w:p>
            <w:pPr>
              <w:widowControl/>
              <w:jc w:val="center"/>
              <w:textAlignment w:val="center"/>
              <w:rPr>
                <w:kern w:val="0"/>
                <w:szCs w:val="21"/>
              </w:rPr>
            </w:pPr>
            <w:r>
              <w:rPr>
                <w:rFonts w:hint="eastAsia"/>
                <w:kern w:val="0"/>
                <w:szCs w:val="21"/>
              </w:rPr>
              <w:t>443.77</w:t>
            </w:r>
          </w:p>
        </w:tc>
        <w:tc>
          <w:tcPr>
            <w:tcW w:w="732" w:type="pct"/>
            <w:vAlign w:val="center"/>
          </w:tcPr>
          <w:p>
            <w:pPr>
              <w:widowControl/>
              <w:jc w:val="center"/>
              <w:textAlignment w:val="center"/>
              <w:rPr>
                <w:kern w:val="0"/>
                <w:szCs w:val="21"/>
              </w:rPr>
            </w:pPr>
            <w:r>
              <w:rPr>
                <w:rFonts w:hint="eastAsia"/>
                <w:kern w:val="0"/>
                <w:szCs w:val="21"/>
              </w:rPr>
              <w:t>99.71%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4" w:type="pct"/>
            <w:vAlign w:val="center"/>
          </w:tcPr>
          <w:p>
            <w:pPr>
              <w:widowControl/>
              <w:jc w:val="center"/>
              <w:textAlignment w:val="center"/>
              <w:rPr>
                <w:kern w:val="0"/>
                <w:szCs w:val="21"/>
              </w:rPr>
            </w:pPr>
            <w:r>
              <w:rPr>
                <w:kern w:val="0"/>
                <w:szCs w:val="21"/>
              </w:rPr>
              <w:t>2</w:t>
            </w:r>
          </w:p>
        </w:tc>
        <w:tc>
          <w:tcPr>
            <w:tcW w:w="1812" w:type="pct"/>
            <w:vAlign w:val="center"/>
          </w:tcPr>
          <w:p>
            <w:pPr>
              <w:widowControl/>
              <w:jc w:val="center"/>
              <w:textAlignment w:val="center"/>
              <w:rPr>
                <w:kern w:val="0"/>
                <w:szCs w:val="21"/>
              </w:rPr>
            </w:pPr>
            <w:r>
              <w:rPr>
                <w:kern w:val="0"/>
                <w:szCs w:val="21"/>
              </w:rPr>
              <w:t>国旗护卫队移动卫生间</w:t>
            </w:r>
            <w:r>
              <w:rPr>
                <w:rFonts w:hint="eastAsia"/>
                <w:kern w:val="0"/>
                <w:szCs w:val="21"/>
              </w:rPr>
              <w:t>服务</w:t>
            </w:r>
          </w:p>
        </w:tc>
        <w:tc>
          <w:tcPr>
            <w:tcW w:w="1031" w:type="pct"/>
            <w:vAlign w:val="center"/>
          </w:tcPr>
          <w:p>
            <w:pPr>
              <w:widowControl/>
              <w:jc w:val="center"/>
              <w:textAlignment w:val="center"/>
              <w:rPr>
                <w:kern w:val="0"/>
                <w:szCs w:val="21"/>
              </w:rPr>
            </w:pPr>
            <w:r>
              <w:rPr>
                <w:rFonts w:hint="eastAsia"/>
                <w:kern w:val="0"/>
                <w:szCs w:val="21"/>
              </w:rPr>
              <w:t>52.10</w:t>
            </w:r>
          </w:p>
        </w:tc>
        <w:tc>
          <w:tcPr>
            <w:tcW w:w="898" w:type="pct"/>
            <w:vAlign w:val="center"/>
          </w:tcPr>
          <w:p>
            <w:pPr>
              <w:widowControl/>
              <w:jc w:val="center"/>
              <w:textAlignment w:val="center"/>
              <w:rPr>
                <w:kern w:val="0"/>
                <w:szCs w:val="21"/>
              </w:rPr>
            </w:pPr>
            <w:r>
              <w:rPr>
                <w:rFonts w:hint="eastAsia"/>
                <w:kern w:val="0"/>
                <w:szCs w:val="21"/>
              </w:rPr>
              <w:t>51.68</w:t>
            </w:r>
          </w:p>
        </w:tc>
        <w:tc>
          <w:tcPr>
            <w:tcW w:w="732" w:type="pct"/>
            <w:vAlign w:val="center"/>
          </w:tcPr>
          <w:p>
            <w:pPr>
              <w:widowControl/>
              <w:jc w:val="center"/>
              <w:textAlignment w:val="center"/>
              <w:rPr>
                <w:kern w:val="0"/>
                <w:szCs w:val="21"/>
              </w:rPr>
            </w:pPr>
            <w:r>
              <w:rPr>
                <w:rFonts w:hint="eastAsia"/>
                <w:kern w:val="0"/>
                <w:szCs w:val="21"/>
              </w:rPr>
              <w:t>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7" w:type="pct"/>
            <w:gridSpan w:val="2"/>
            <w:vAlign w:val="center"/>
          </w:tcPr>
          <w:p>
            <w:pPr>
              <w:widowControl/>
              <w:jc w:val="center"/>
              <w:textAlignment w:val="center"/>
              <w:rPr>
                <w:b/>
                <w:bCs/>
                <w:kern w:val="0"/>
                <w:szCs w:val="21"/>
              </w:rPr>
            </w:pPr>
            <w:r>
              <w:rPr>
                <w:b/>
                <w:bCs/>
                <w:kern w:val="0"/>
                <w:szCs w:val="21"/>
              </w:rPr>
              <w:t>合计</w:t>
            </w:r>
          </w:p>
        </w:tc>
        <w:tc>
          <w:tcPr>
            <w:tcW w:w="1031" w:type="pct"/>
            <w:vAlign w:val="center"/>
          </w:tcPr>
          <w:p>
            <w:pPr>
              <w:widowControl/>
              <w:jc w:val="center"/>
              <w:textAlignment w:val="center"/>
              <w:rPr>
                <w:b/>
                <w:bCs/>
                <w:kern w:val="0"/>
                <w:szCs w:val="21"/>
              </w:rPr>
            </w:pPr>
            <w:r>
              <w:rPr>
                <w:rFonts w:hint="eastAsia"/>
                <w:b/>
                <w:bCs/>
                <w:kern w:val="0"/>
                <w:szCs w:val="21"/>
              </w:rPr>
              <w:t>497.18</w:t>
            </w:r>
          </w:p>
        </w:tc>
        <w:tc>
          <w:tcPr>
            <w:tcW w:w="898" w:type="pct"/>
            <w:vAlign w:val="center"/>
          </w:tcPr>
          <w:p>
            <w:pPr>
              <w:widowControl/>
              <w:jc w:val="center"/>
              <w:textAlignment w:val="center"/>
              <w:rPr>
                <w:b/>
                <w:bCs/>
                <w:kern w:val="0"/>
                <w:szCs w:val="21"/>
              </w:rPr>
            </w:pPr>
            <w:r>
              <w:rPr>
                <w:rFonts w:hint="eastAsia"/>
                <w:b/>
                <w:bCs/>
                <w:kern w:val="0"/>
                <w:szCs w:val="21"/>
              </w:rPr>
              <w:t>494.45</w:t>
            </w:r>
          </w:p>
        </w:tc>
        <w:tc>
          <w:tcPr>
            <w:tcW w:w="732" w:type="pct"/>
            <w:vAlign w:val="center"/>
          </w:tcPr>
          <w:p>
            <w:pPr>
              <w:widowControl/>
              <w:jc w:val="center"/>
              <w:textAlignment w:val="center"/>
              <w:rPr>
                <w:b/>
                <w:bCs/>
                <w:kern w:val="0"/>
                <w:szCs w:val="21"/>
              </w:rPr>
            </w:pPr>
            <w:r>
              <w:rPr>
                <w:rFonts w:hint="eastAsia"/>
                <w:b/>
                <w:bCs/>
                <w:kern w:val="0"/>
                <w:szCs w:val="21"/>
              </w:rPr>
              <w:t>99.65%</w:t>
            </w:r>
          </w:p>
        </w:tc>
      </w:tr>
    </w:tbl>
    <w:p>
      <w:pPr>
        <w:adjustRightInd w:val="0"/>
        <w:snapToGrid w:val="0"/>
        <w:spacing w:beforeLines="50" w:line="600" w:lineRule="exact"/>
        <w:ind w:firstLine="640" w:firstLineChars="200"/>
        <w:outlineLvl w:val="1"/>
        <w:rPr>
          <w:rFonts w:eastAsia="楷体_GB2312"/>
          <w:sz w:val="32"/>
          <w:szCs w:val="32"/>
        </w:rPr>
      </w:pPr>
      <w:bookmarkStart w:id="13" w:name="_Toc16774"/>
      <w:bookmarkStart w:id="14" w:name="_Toc27665"/>
      <w:bookmarkStart w:id="15" w:name="_Toc17690"/>
      <w:bookmarkStart w:id="16" w:name="_Toc20933"/>
      <w:bookmarkStart w:id="17" w:name="_Toc28963"/>
      <w:r>
        <w:rPr>
          <w:rFonts w:eastAsia="楷体_GB2312"/>
          <w:sz w:val="32"/>
          <w:szCs w:val="32"/>
        </w:rPr>
        <w:t>（二）项目绩效目标</w:t>
      </w:r>
      <w:bookmarkEnd w:id="13"/>
      <w:bookmarkEnd w:id="14"/>
      <w:bookmarkEnd w:id="15"/>
      <w:bookmarkEnd w:id="16"/>
      <w:bookmarkEnd w:id="17"/>
    </w:p>
    <w:p>
      <w:pPr>
        <w:adjustRightInd w:val="0"/>
        <w:snapToGrid w:val="0"/>
        <w:spacing w:line="600" w:lineRule="exact"/>
        <w:ind w:firstLine="640" w:firstLineChars="200"/>
        <w:rPr>
          <w:rFonts w:ascii="仿宋_GB2312" w:hAnsi="方正仿宋_GBK" w:eastAsia="仿宋_GB2312" w:cs="方正仿宋_GBK"/>
          <w:bCs/>
          <w:sz w:val="32"/>
          <w:szCs w:val="32"/>
        </w:rPr>
      </w:pPr>
      <w:bookmarkStart w:id="18" w:name="_Toc20781"/>
      <w:bookmarkStart w:id="19" w:name="_Toc16921"/>
      <w:bookmarkStart w:id="20" w:name="_Toc2158"/>
      <w:bookmarkStart w:id="21" w:name="_Toc711276754"/>
      <w:bookmarkStart w:id="22" w:name="_Toc7445"/>
      <w:bookmarkStart w:id="23" w:name="_Toc913"/>
      <w:r>
        <w:rPr>
          <w:rFonts w:hint="eastAsia" w:ascii="仿宋_GB2312" w:hAnsi="方正仿宋_GBK" w:eastAsia="仿宋_GB2312" w:cs="方正仿宋_GBK"/>
          <w:bCs/>
          <w:sz w:val="32"/>
          <w:szCs w:val="32"/>
        </w:rPr>
        <w:t>1.项目年度总体目标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为解决天安门广场游客如厕问题，每年旅游旺季期间，在广场东侧路南口适当位置增设移动卫生间2座（含配属设施），在广场西侧路安检棚南侧适当位置增设移动卫生间2座（含配属设施），在纪念堂南侧增设移动卫生间2座（含配属设施），有效解决地区公共卫生间供给不足、游客如厕难、等候时间长等问题。为国旗护卫队东朝房驻地提供移动卫生间3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2.</w:t>
      </w:r>
      <w:r>
        <w:rPr>
          <w:rFonts w:hint="eastAsia" w:ascii="仿宋_GB2312" w:hAnsi="方正仿宋_GBK" w:eastAsia="仿宋_GB2312" w:cs="方正仿宋_GBK"/>
          <w:bCs/>
          <w:sz w:val="32"/>
          <w:szCs w:val="32"/>
        </w:rPr>
        <w:t>项目绩效指标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2022年项目设置产出指标5个，包括产出数量、产出质量、产出时效及经济成本，分别考核移动卫生间数量、运行质量、项目实施成本及移动卫生间开放时间；效益指标2个，包括可持续影响指标和社会效益指标，分别考核项目实施对天安门地区社会影响力的提升及公共卫生间供给问题的解决；满意度指标2个，包括游客及国旗护卫队满意度指标，考核游客及国旗护卫队对移动卫生间的满意度。</w:t>
      </w:r>
    </w:p>
    <w:p>
      <w:pPr>
        <w:adjustRightInd w:val="0"/>
        <w:snapToGrid w:val="0"/>
        <w:spacing w:beforeLines="50" w:line="600" w:lineRule="exact"/>
        <w:ind w:firstLine="640" w:firstLineChars="200"/>
        <w:outlineLvl w:val="0"/>
        <w:rPr>
          <w:rFonts w:eastAsia="黑体"/>
          <w:sz w:val="32"/>
          <w:szCs w:val="32"/>
        </w:rPr>
      </w:pPr>
      <w:bookmarkStart w:id="24" w:name="_Toc12496"/>
      <w:r>
        <w:rPr>
          <w:rFonts w:eastAsia="黑体"/>
          <w:sz w:val="32"/>
          <w:szCs w:val="32"/>
        </w:rPr>
        <w:t>二、</w:t>
      </w:r>
      <w:bookmarkStart w:id="25" w:name="_Toc22870"/>
      <w:r>
        <w:rPr>
          <w:rFonts w:eastAsia="黑体"/>
          <w:sz w:val="32"/>
          <w:szCs w:val="32"/>
        </w:rPr>
        <w:t>绩效评价工作开展情况</w:t>
      </w:r>
      <w:bookmarkEnd w:id="18"/>
      <w:bookmarkEnd w:id="19"/>
      <w:bookmarkEnd w:id="20"/>
      <w:bookmarkEnd w:id="21"/>
      <w:bookmarkEnd w:id="22"/>
      <w:bookmarkEnd w:id="23"/>
      <w:bookmarkEnd w:id="24"/>
    </w:p>
    <w:bookmarkEnd w:id="25"/>
    <w:p>
      <w:pPr>
        <w:adjustRightInd w:val="0"/>
        <w:snapToGrid w:val="0"/>
        <w:spacing w:line="600" w:lineRule="exact"/>
        <w:ind w:firstLine="640" w:firstLineChars="200"/>
        <w:outlineLvl w:val="1"/>
        <w:rPr>
          <w:rFonts w:eastAsia="楷体_GB2312"/>
          <w:sz w:val="32"/>
          <w:szCs w:val="32"/>
        </w:rPr>
      </w:pPr>
      <w:bookmarkStart w:id="26" w:name="_Toc31025"/>
      <w:bookmarkStart w:id="27" w:name="_Toc1534425276"/>
      <w:bookmarkStart w:id="28" w:name="_Toc5955"/>
      <w:bookmarkStart w:id="29" w:name="_Toc23203"/>
      <w:bookmarkStart w:id="30" w:name="_Toc8151"/>
      <w:bookmarkStart w:id="31" w:name="_Toc32394"/>
      <w:bookmarkStart w:id="32" w:name="_Toc9493"/>
      <w:r>
        <w:rPr>
          <w:rFonts w:eastAsia="楷体_GB2312"/>
          <w:sz w:val="32"/>
          <w:szCs w:val="32"/>
        </w:rPr>
        <w:t>（一）绩效评价目的、对象和范围</w:t>
      </w:r>
      <w:bookmarkEnd w:id="26"/>
      <w:bookmarkEnd w:id="27"/>
      <w:bookmarkEnd w:id="28"/>
      <w:bookmarkEnd w:id="29"/>
      <w:bookmarkEnd w:id="30"/>
      <w:bookmarkEnd w:id="31"/>
      <w:bookmarkEnd w:id="32"/>
    </w:p>
    <w:p>
      <w:pPr>
        <w:adjustRightInd w:val="0"/>
        <w:snapToGrid w:val="0"/>
        <w:spacing w:line="600" w:lineRule="exact"/>
        <w:ind w:firstLine="640" w:firstLineChars="200"/>
        <w:rPr>
          <w:rFonts w:ascii="仿宋_GB2312" w:hAnsi="方正仿宋_GBK" w:eastAsia="仿宋_GB2312" w:cs="方正仿宋_GBK"/>
          <w:bCs/>
          <w:sz w:val="32"/>
          <w:szCs w:val="32"/>
        </w:rPr>
      </w:pPr>
      <w:bookmarkStart w:id="33" w:name="_Toc23134"/>
      <w:bookmarkStart w:id="34" w:name="_Toc12600"/>
      <w:bookmarkStart w:id="35" w:name="_Toc17377"/>
      <w:bookmarkStart w:id="36" w:name="_Toc1881211542"/>
      <w:bookmarkStart w:id="37" w:name="_Toc7523"/>
      <w:bookmarkStart w:id="38" w:name="_Toc14342"/>
      <w:r>
        <w:rPr>
          <w:rFonts w:hint="eastAsia" w:ascii="仿宋_GB2312" w:hAnsi="方正仿宋_GBK" w:eastAsia="仿宋_GB2312" w:cs="方正仿宋_GBK"/>
          <w:bCs/>
          <w:sz w:val="32"/>
          <w:szCs w:val="32"/>
        </w:rPr>
        <w:t>为深入贯彻落实中共中央、国务院《关于全面实施预算绩效管理的意见》（中发〔2018〕34号）、《财政部关于贯彻落实&lt;中共中央 国务院关于全面实施预算绩效管理的意见&gt;的通知》（财预〔2018〕167号）等文件精神，根据《项目支出绩效评价管理办法》（财预〔2020〕10号）、北京市财政局《关于2023年推进全面实施预算绩效管理工作的预通知》的相关规定和要求，评价工作组对2022年天安门广场东西侧路及国旗护卫队移动卫生间服务项目的执行情况和资金使用情况进行绩效评价。</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项目绩效评价围绕项目决策、过程、产出、效益等方面开展，综合反映</w:t>
      </w:r>
      <w:r>
        <w:rPr>
          <w:rFonts w:hint="eastAsia" w:ascii="仿宋_GB2312" w:hAnsi="方正仿宋_GBK" w:eastAsia="仿宋_GB2312" w:cs="方正仿宋_GBK"/>
          <w:bCs/>
          <w:sz w:val="32"/>
          <w:szCs w:val="32"/>
        </w:rPr>
        <w:t>资金</w:t>
      </w:r>
      <w:r>
        <w:rPr>
          <w:rFonts w:ascii="仿宋_GB2312" w:hAnsi="方正仿宋_GBK" w:eastAsia="仿宋_GB2312" w:cs="方正仿宋_GBK"/>
          <w:bCs/>
          <w:sz w:val="32"/>
          <w:szCs w:val="32"/>
        </w:rPr>
        <w:t>支出成效，梳理项目存在的问题，提出相应建议，强化部门预算绩效管理理念，进一步提高财政资金的使用效益。</w:t>
      </w:r>
    </w:p>
    <w:p>
      <w:pPr>
        <w:adjustRightInd w:val="0"/>
        <w:snapToGrid w:val="0"/>
        <w:spacing w:line="600" w:lineRule="exact"/>
        <w:ind w:firstLine="640" w:firstLineChars="200"/>
        <w:outlineLvl w:val="1"/>
        <w:rPr>
          <w:rFonts w:eastAsia="楷体_GB2312"/>
          <w:sz w:val="32"/>
          <w:szCs w:val="32"/>
        </w:rPr>
      </w:pPr>
      <w:bookmarkStart w:id="39" w:name="_Toc17889"/>
      <w:r>
        <w:rPr>
          <w:rFonts w:eastAsia="楷体_GB2312"/>
          <w:sz w:val="32"/>
          <w:szCs w:val="32"/>
        </w:rPr>
        <w:t>（二）绩效评价原则、评价指标体系、评价方法和评价标准</w:t>
      </w:r>
      <w:bookmarkEnd w:id="33"/>
      <w:bookmarkEnd w:id="34"/>
      <w:bookmarkEnd w:id="35"/>
      <w:bookmarkEnd w:id="36"/>
      <w:bookmarkEnd w:id="37"/>
      <w:bookmarkEnd w:id="38"/>
      <w:bookmarkEnd w:id="39"/>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1.评价原则</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（1）科学规范原则。本次绩效评价工作按照科学可行的原则，采取定量分析与定性分析相结合的评价方法，设计绩效评价工作方案并组织实施绩效评价。</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（2）独立公正原则。以真实、客观、公正的要求完成此次绩效评价工作，并接受相关部门的监督。</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（3）绩效相关原则。本次绩效评价工作重点对该项目财政支出及其产出绩效进行评价，评价结果反映项目支出与产出绩效之间的紧密对应关系。在以评绩效为主的情况下，适当延伸至项目的投入与过程管理。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2.评价指标体系</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根据绩效评价的基本原理、原则和项目特点，按照《北京市项目支出绩效评价管理办法》（京财绩效〔2020〕2146号）相关要求，设置包括决策、过程、产出及效益4个一级指标，10个二级指标和20个三级指标（详见附件），满分为100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（1）决策：分值10分，用于考核项目立项依据充分性、立项程序规范性、绩效目标合理性、绩效指标明确性、预算编制科学性及资金分配合理性等内容。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（2）过程：分值20分，用于评价项目运行过程中资金管理、制度建立及制度执行等情况。</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（3）产出：分值40分，用于考察专项资金投入产出数量、质量、时效、成本控制情况等内容。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（4）效果：分值30分，用于综合评价资金投入使用后的社会效益及服务对象满意度等内容。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本次绩效评价总分值为100分，绩效评价结果分为四档：90（含）-100分为优、80（含）-90分为良、60（含）-80分为中、60分以下为差。</w:t>
      </w:r>
    </w:p>
    <w:p>
      <w:pPr>
        <w:adjustRightInd w:val="0"/>
        <w:snapToGrid w:val="0"/>
        <w:spacing w:afterLines="50" w:line="600" w:lineRule="exact"/>
        <w:ind w:firstLine="560" w:firstLineChars="200"/>
        <w:jc w:val="center"/>
        <w:rPr>
          <w:rFonts w:eastAsia="黑体"/>
          <w:sz w:val="28"/>
          <w:szCs w:val="28"/>
        </w:rPr>
      </w:pPr>
      <w:bookmarkStart w:id="40" w:name="_Toc18475"/>
      <w:r>
        <w:rPr>
          <w:rFonts w:eastAsia="黑体"/>
          <w:sz w:val="28"/>
          <w:szCs w:val="28"/>
        </w:rPr>
        <w:t>项目</w:t>
      </w:r>
      <w:r>
        <w:rPr>
          <w:rFonts w:hint="eastAsia" w:eastAsia="黑体"/>
          <w:sz w:val="28"/>
          <w:szCs w:val="28"/>
        </w:rPr>
        <w:t>绩效评价</w:t>
      </w:r>
      <w:r>
        <w:rPr>
          <w:rFonts w:eastAsia="黑体"/>
          <w:sz w:val="28"/>
          <w:szCs w:val="28"/>
        </w:rPr>
        <w:t>指标体系</w:t>
      </w:r>
    </w:p>
    <w:bookmarkEnd w:id="40"/>
    <w:tbl>
      <w:tblPr>
        <w:tblStyle w:val="1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287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850" w:type="pct"/>
            <w:vAlign w:val="center"/>
          </w:tcPr>
          <w:p>
            <w:pPr>
              <w:widowControl/>
              <w:jc w:val="center"/>
              <w:textAlignment w:val="center"/>
              <w:rPr>
                <w:b/>
                <w:bCs/>
                <w:kern w:val="0"/>
                <w:szCs w:val="21"/>
              </w:rPr>
            </w:pPr>
            <w:r>
              <w:rPr>
                <w:rFonts w:hint="eastAsia"/>
                <w:b/>
                <w:bCs/>
                <w:kern w:val="0"/>
                <w:szCs w:val="21"/>
              </w:rPr>
              <w:t>一级指标</w:t>
            </w:r>
          </w:p>
        </w:tc>
        <w:tc>
          <w:tcPr>
            <w:tcW w:w="1586" w:type="pct"/>
            <w:vAlign w:val="center"/>
          </w:tcPr>
          <w:p>
            <w:pPr>
              <w:widowControl/>
              <w:jc w:val="center"/>
              <w:textAlignment w:val="center"/>
              <w:rPr>
                <w:b/>
                <w:bCs/>
                <w:kern w:val="0"/>
                <w:szCs w:val="21"/>
              </w:rPr>
            </w:pPr>
            <w:r>
              <w:rPr>
                <w:rFonts w:hint="eastAsia"/>
                <w:b/>
                <w:bCs/>
                <w:kern w:val="0"/>
                <w:szCs w:val="21"/>
              </w:rPr>
              <w:t>二级指标</w:t>
            </w:r>
          </w:p>
        </w:tc>
        <w:tc>
          <w:tcPr>
            <w:tcW w:w="2563" w:type="pct"/>
            <w:vAlign w:val="center"/>
          </w:tcPr>
          <w:p>
            <w:pPr>
              <w:widowControl/>
              <w:jc w:val="center"/>
              <w:textAlignment w:val="center"/>
              <w:rPr>
                <w:b/>
                <w:bCs/>
                <w:kern w:val="0"/>
                <w:szCs w:val="21"/>
              </w:rPr>
            </w:pPr>
            <w:r>
              <w:rPr>
                <w:rFonts w:hint="eastAsia"/>
                <w:b/>
                <w:bCs/>
                <w:kern w:val="0"/>
                <w:szCs w:val="21"/>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restart"/>
            <w:vAlign w:val="center"/>
          </w:tcPr>
          <w:p>
            <w:pPr>
              <w:widowControl/>
              <w:jc w:val="center"/>
              <w:textAlignment w:val="center"/>
              <w:rPr>
                <w:kern w:val="0"/>
                <w:szCs w:val="21"/>
              </w:rPr>
            </w:pPr>
            <w:r>
              <w:rPr>
                <w:kern w:val="0"/>
                <w:szCs w:val="21"/>
              </w:rPr>
              <w:t>决策</w:t>
            </w:r>
          </w:p>
        </w:tc>
        <w:tc>
          <w:tcPr>
            <w:tcW w:w="1586" w:type="pct"/>
            <w:vMerge w:val="restart"/>
            <w:vAlign w:val="center"/>
          </w:tcPr>
          <w:p>
            <w:pPr>
              <w:widowControl/>
              <w:jc w:val="center"/>
              <w:textAlignment w:val="center"/>
              <w:rPr>
                <w:kern w:val="0"/>
                <w:szCs w:val="21"/>
              </w:rPr>
            </w:pPr>
            <w:r>
              <w:rPr>
                <w:kern w:val="0"/>
                <w:szCs w:val="21"/>
              </w:rPr>
              <w:t>项目立项</w:t>
            </w:r>
          </w:p>
        </w:tc>
        <w:tc>
          <w:tcPr>
            <w:tcW w:w="2563" w:type="pct"/>
            <w:vAlign w:val="center"/>
          </w:tcPr>
          <w:p>
            <w:pPr>
              <w:widowControl/>
              <w:jc w:val="center"/>
              <w:textAlignment w:val="center"/>
              <w:rPr>
                <w:kern w:val="0"/>
                <w:szCs w:val="21"/>
              </w:rPr>
            </w:pPr>
            <w:r>
              <w:rPr>
                <w:kern w:val="0"/>
                <w:szCs w:val="21"/>
              </w:rPr>
              <w:t>立项依据充分性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立项程序规范性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绩效目标</w:t>
            </w:r>
          </w:p>
        </w:tc>
        <w:tc>
          <w:tcPr>
            <w:tcW w:w="2563" w:type="pct"/>
            <w:vAlign w:val="center"/>
          </w:tcPr>
          <w:p>
            <w:pPr>
              <w:widowControl/>
              <w:jc w:val="center"/>
              <w:textAlignment w:val="center"/>
              <w:rPr>
                <w:kern w:val="0"/>
                <w:szCs w:val="21"/>
              </w:rPr>
            </w:pPr>
            <w:r>
              <w:rPr>
                <w:kern w:val="0"/>
                <w:szCs w:val="21"/>
              </w:rPr>
              <w:t>绩效目标合理性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绩效指标明确性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资金投入</w:t>
            </w:r>
          </w:p>
        </w:tc>
        <w:tc>
          <w:tcPr>
            <w:tcW w:w="2563" w:type="pct"/>
            <w:vAlign w:val="center"/>
          </w:tcPr>
          <w:p>
            <w:pPr>
              <w:widowControl/>
              <w:jc w:val="center"/>
              <w:textAlignment w:val="center"/>
              <w:rPr>
                <w:kern w:val="0"/>
                <w:szCs w:val="21"/>
              </w:rPr>
            </w:pPr>
            <w:r>
              <w:rPr>
                <w:kern w:val="0"/>
                <w:szCs w:val="21"/>
              </w:rPr>
              <w:t>预算编制科学性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资金分配合理性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restart"/>
            <w:vAlign w:val="center"/>
          </w:tcPr>
          <w:p>
            <w:pPr>
              <w:widowControl/>
              <w:jc w:val="center"/>
              <w:textAlignment w:val="center"/>
              <w:rPr>
                <w:kern w:val="0"/>
                <w:szCs w:val="21"/>
              </w:rPr>
            </w:pPr>
            <w:r>
              <w:rPr>
                <w:kern w:val="0"/>
                <w:szCs w:val="21"/>
              </w:rPr>
              <w:t>过程</w:t>
            </w:r>
          </w:p>
        </w:tc>
        <w:tc>
          <w:tcPr>
            <w:tcW w:w="1586" w:type="pct"/>
            <w:vMerge w:val="restart"/>
            <w:vAlign w:val="center"/>
          </w:tcPr>
          <w:p>
            <w:pPr>
              <w:widowControl/>
              <w:jc w:val="center"/>
              <w:textAlignment w:val="center"/>
              <w:rPr>
                <w:kern w:val="0"/>
                <w:szCs w:val="21"/>
              </w:rPr>
            </w:pPr>
            <w:r>
              <w:rPr>
                <w:kern w:val="0"/>
                <w:szCs w:val="21"/>
              </w:rPr>
              <w:t>资金管理</w:t>
            </w:r>
          </w:p>
        </w:tc>
        <w:tc>
          <w:tcPr>
            <w:tcW w:w="2563" w:type="pct"/>
            <w:vAlign w:val="center"/>
          </w:tcPr>
          <w:p>
            <w:pPr>
              <w:widowControl/>
              <w:jc w:val="center"/>
              <w:textAlignment w:val="center"/>
              <w:rPr>
                <w:kern w:val="0"/>
                <w:szCs w:val="21"/>
              </w:rPr>
            </w:pPr>
            <w:r>
              <w:rPr>
                <w:kern w:val="0"/>
                <w:szCs w:val="21"/>
              </w:rPr>
              <w:t>资金到位率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资金使用合规性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组织实施</w:t>
            </w:r>
          </w:p>
        </w:tc>
        <w:tc>
          <w:tcPr>
            <w:tcW w:w="2563" w:type="pct"/>
            <w:vAlign w:val="center"/>
          </w:tcPr>
          <w:p>
            <w:pPr>
              <w:widowControl/>
              <w:jc w:val="center"/>
              <w:textAlignment w:val="center"/>
              <w:rPr>
                <w:kern w:val="0"/>
                <w:szCs w:val="21"/>
              </w:rPr>
            </w:pPr>
            <w:r>
              <w:rPr>
                <w:kern w:val="0"/>
                <w:szCs w:val="21"/>
              </w:rPr>
              <w:t>管理制度健全性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制度执行有效性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restart"/>
            <w:vAlign w:val="center"/>
          </w:tcPr>
          <w:p>
            <w:pPr>
              <w:widowControl/>
              <w:jc w:val="center"/>
              <w:textAlignment w:val="center"/>
              <w:rPr>
                <w:kern w:val="0"/>
                <w:szCs w:val="21"/>
              </w:rPr>
            </w:pPr>
            <w:r>
              <w:rPr>
                <w:kern w:val="0"/>
                <w:szCs w:val="21"/>
              </w:rPr>
              <w:t>产出</w:t>
            </w:r>
          </w:p>
        </w:tc>
        <w:tc>
          <w:tcPr>
            <w:tcW w:w="1586" w:type="pct"/>
            <w:vMerge w:val="restart"/>
            <w:vAlign w:val="center"/>
          </w:tcPr>
          <w:p>
            <w:pPr>
              <w:widowControl/>
              <w:jc w:val="center"/>
              <w:textAlignment w:val="center"/>
              <w:rPr>
                <w:kern w:val="0"/>
                <w:szCs w:val="21"/>
              </w:rPr>
            </w:pPr>
            <w:r>
              <w:rPr>
                <w:kern w:val="0"/>
                <w:szCs w:val="21"/>
              </w:rPr>
              <w:t>产出数量</w:t>
            </w:r>
          </w:p>
        </w:tc>
        <w:tc>
          <w:tcPr>
            <w:tcW w:w="2563" w:type="pct"/>
            <w:vAlign w:val="center"/>
          </w:tcPr>
          <w:p>
            <w:pPr>
              <w:widowControl/>
              <w:jc w:val="center"/>
              <w:textAlignment w:val="center"/>
              <w:rPr>
                <w:kern w:val="0"/>
                <w:szCs w:val="21"/>
              </w:rPr>
            </w:pPr>
            <w:r>
              <w:rPr>
                <w:rFonts w:hint="eastAsia"/>
                <w:kern w:val="0"/>
                <w:szCs w:val="21"/>
              </w:rPr>
              <w:t>移动卫生间放置数量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rFonts w:hint="eastAsia"/>
                <w:kern w:val="0"/>
                <w:szCs w:val="21"/>
              </w:rPr>
              <w:t>计划厕位完成数量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restart"/>
            <w:vAlign w:val="center"/>
          </w:tcPr>
          <w:p>
            <w:pPr>
              <w:widowControl/>
              <w:jc w:val="center"/>
              <w:textAlignment w:val="center"/>
              <w:rPr>
                <w:kern w:val="0"/>
                <w:szCs w:val="21"/>
              </w:rPr>
            </w:pPr>
            <w:r>
              <w:rPr>
                <w:kern w:val="0"/>
                <w:szCs w:val="21"/>
              </w:rPr>
              <w:t>产出质量</w:t>
            </w:r>
          </w:p>
        </w:tc>
        <w:tc>
          <w:tcPr>
            <w:tcW w:w="2563" w:type="pct"/>
            <w:vAlign w:val="center"/>
          </w:tcPr>
          <w:p>
            <w:pPr>
              <w:widowControl/>
              <w:jc w:val="center"/>
              <w:textAlignment w:val="center"/>
              <w:rPr>
                <w:kern w:val="0"/>
                <w:szCs w:val="21"/>
              </w:rPr>
            </w:pPr>
            <w:r>
              <w:rPr>
                <w:kern w:val="0"/>
                <w:szCs w:val="21"/>
              </w:rPr>
              <w:t>移动卫生间异味情况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厕纸、洗手液配置充足率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kern w:val="0"/>
                <w:szCs w:val="21"/>
              </w:rPr>
              <w:t>产出时效</w:t>
            </w:r>
          </w:p>
        </w:tc>
        <w:tc>
          <w:tcPr>
            <w:tcW w:w="2563" w:type="pct"/>
            <w:vAlign w:val="center"/>
          </w:tcPr>
          <w:p>
            <w:pPr>
              <w:widowControl/>
              <w:jc w:val="center"/>
              <w:textAlignment w:val="center"/>
              <w:rPr>
                <w:kern w:val="0"/>
                <w:szCs w:val="21"/>
              </w:rPr>
            </w:pPr>
            <w:r>
              <w:rPr>
                <w:kern w:val="0"/>
                <w:szCs w:val="21"/>
              </w:rPr>
              <w:t>移动卫生间按时服务情况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Align w:val="center"/>
          </w:tcPr>
          <w:p>
            <w:pPr>
              <w:widowControl/>
              <w:jc w:val="center"/>
              <w:textAlignment w:val="center"/>
              <w:rPr>
                <w:kern w:val="0"/>
                <w:szCs w:val="21"/>
              </w:rPr>
            </w:pPr>
            <w:r>
              <w:rPr>
                <w:kern w:val="0"/>
                <w:szCs w:val="21"/>
              </w:rPr>
              <w:t>产出成本</w:t>
            </w:r>
          </w:p>
        </w:tc>
        <w:tc>
          <w:tcPr>
            <w:tcW w:w="2563" w:type="pct"/>
            <w:vAlign w:val="center"/>
          </w:tcPr>
          <w:p>
            <w:pPr>
              <w:widowControl/>
              <w:jc w:val="center"/>
              <w:textAlignment w:val="center"/>
              <w:rPr>
                <w:kern w:val="0"/>
                <w:szCs w:val="21"/>
              </w:rPr>
            </w:pPr>
            <w:r>
              <w:rPr>
                <w:kern w:val="0"/>
                <w:szCs w:val="21"/>
              </w:rPr>
              <w:t>移动卫生间服务成本控制情况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restart"/>
            <w:vAlign w:val="center"/>
          </w:tcPr>
          <w:p>
            <w:pPr>
              <w:widowControl/>
              <w:jc w:val="center"/>
              <w:textAlignment w:val="center"/>
              <w:rPr>
                <w:kern w:val="0"/>
                <w:szCs w:val="21"/>
              </w:rPr>
            </w:pPr>
            <w:r>
              <w:rPr>
                <w:kern w:val="0"/>
                <w:szCs w:val="21"/>
              </w:rPr>
              <w:t>效益</w:t>
            </w:r>
          </w:p>
        </w:tc>
        <w:tc>
          <w:tcPr>
            <w:tcW w:w="1586" w:type="pct"/>
            <w:vMerge w:val="restart"/>
            <w:vAlign w:val="center"/>
          </w:tcPr>
          <w:p>
            <w:pPr>
              <w:widowControl/>
              <w:jc w:val="center"/>
              <w:textAlignment w:val="center"/>
              <w:rPr>
                <w:kern w:val="0"/>
                <w:szCs w:val="21"/>
              </w:rPr>
            </w:pPr>
            <w:r>
              <w:rPr>
                <w:kern w:val="0"/>
                <w:szCs w:val="21"/>
              </w:rPr>
              <w:t>项目效益</w:t>
            </w:r>
          </w:p>
        </w:tc>
        <w:tc>
          <w:tcPr>
            <w:tcW w:w="2563" w:type="pct"/>
            <w:vAlign w:val="center"/>
          </w:tcPr>
          <w:p>
            <w:pPr>
              <w:widowControl/>
              <w:jc w:val="center"/>
              <w:textAlignment w:val="center"/>
              <w:rPr>
                <w:kern w:val="0"/>
                <w:szCs w:val="21"/>
              </w:rPr>
            </w:pPr>
            <w:r>
              <w:rPr>
                <w:kern w:val="0"/>
                <w:szCs w:val="21"/>
              </w:rPr>
              <w:t>有效解决游客、国旗护卫队如厕难问题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有效提升天安门地区</w:t>
            </w:r>
            <w:r>
              <w:rPr>
                <w:rFonts w:hint="eastAsia"/>
                <w:kern w:val="0"/>
                <w:szCs w:val="21"/>
              </w:rPr>
              <w:t>公共服务水平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0" w:type="pct"/>
            <w:vMerge w:val="continue"/>
            <w:vAlign w:val="center"/>
          </w:tcPr>
          <w:p>
            <w:pPr>
              <w:widowControl/>
              <w:jc w:val="center"/>
              <w:textAlignment w:val="center"/>
              <w:rPr>
                <w:kern w:val="0"/>
                <w:szCs w:val="21"/>
              </w:rPr>
            </w:pPr>
          </w:p>
        </w:tc>
        <w:tc>
          <w:tcPr>
            <w:tcW w:w="1586" w:type="pct"/>
            <w:vMerge w:val="continue"/>
            <w:vAlign w:val="center"/>
          </w:tcPr>
          <w:p>
            <w:pPr>
              <w:widowControl/>
              <w:jc w:val="center"/>
              <w:textAlignment w:val="center"/>
              <w:rPr>
                <w:kern w:val="0"/>
                <w:szCs w:val="21"/>
              </w:rPr>
            </w:pPr>
          </w:p>
        </w:tc>
        <w:tc>
          <w:tcPr>
            <w:tcW w:w="2563" w:type="pct"/>
            <w:vAlign w:val="center"/>
          </w:tcPr>
          <w:p>
            <w:pPr>
              <w:widowControl/>
              <w:jc w:val="center"/>
              <w:textAlignment w:val="center"/>
              <w:rPr>
                <w:kern w:val="0"/>
                <w:szCs w:val="21"/>
              </w:rPr>
            </w:pPr>
            <w:r>
              <w:rPr>
                <w:kern w:val="0"/>
                <w:szCs w:val="21"/>
              </w:rPr>
              <w:t>游客、国旗护卫队满意度</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3.评价方法</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本次评价通过资料核查的方法对项目进行定性评价；通过基础数据统计分析的方法，对项目进行定量评价。在定性评价中，明确支撑评价结果的证明材料，减少定性评价带来的主观性。本次绩效评价使用案卷研究的评价方法，即对与项目相关的法规和文件通知、立项资料、实施方案、政府采购相关文件、内容调整的请示及批复、资金支出程序文件、工作总结、服务对象满意度调查等资料进行深入研究、比较、分析，提取重要信息，支撑评价打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4.评价标准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依据《北京市项目支出绩效评价管理办法》（京财绩效〔2020〕2146号）规定的绩效评价标准，结合项目实际情况，本次绩效评价采用计划标准，即以预先制定的总体目标、计划、预算作为本次绩效评价的标准。</w:t>
      </w:r>
    </w:p>
    <w:p>
      <w:pPr>
        <w:adjustRightInd w:val="0"/>
        <w:snapToGrid w:val="0"/>
        <w:spacing w:line="600" w:lineRule="exact"/>
        <w:ind w:firstLine="640" w:firstLineChars="200"/>
        <w:outlineLvl w:val="1"/>
        <w:rPr>
          <w:rFonts w:eastAsia="楷体_GB2312"/>
          <w:sz w:val="32"/>
          <w:szCs w:val="32"/>
        </w:rPr>
      </w:pPr>
      <w:bookmarkStart w:id="41" w:name="_Toc25057"/>
      <w:bookmarkStart w:id="42" w:name="_Toc23302"/>
      <w:bookmarkStart w:id="43" w:name="_Toc13643"/>
      <w:bookmarkStart w:id="44" w:name="_Toc120651613"/>
      <w:bookmarkStart w:id="45" w:name="_Toc22355"/>
      <w:bookmarkStart w:id="46" w:name="_Toc3498"/>
      <w:bookmarkStart w:id="47" w:name="_Toc2426"/>
      <w:bookmarkStart w:id="48" w:name="_Toc31155"/>
      <w:r>
        <w:rPr>
          <w:rFonts w:eastAsia="楷体_GB2312"/>
          <w:sz w:val="32"/>
          <w:szCs w:val="32"/>
        </w:rPr>
        <w:t>（三）</w:t>
      </w:r>
      <w:bookmarkEnd w:id="41"/>
      <w:r>
        <w:rPr>
          <w:rFonts w:eastAsia="楷体_GB2312"/>
          <w:sz w:val="32"/>
          <w:szCs w:val="32"/>
        </w:rPr>
        <w:t>绩效评价工作过程</w:t>
      </w:r>
      <w:bookmarkEnd w:id="42"/>
      <w:bookmarkEnd w:id="43"/>
      <w:bookmarkEnd w:id="44"/>
      <w:bookmarkEnd w:id="45"/>
      <w:bookmarkEnd w:id="46"/>
      <w:bookmarkEnd w:id="47"/>
      <w:bookmarkEnd w:id="48"/>
    </w:p>
    <w:p>
      <w:pPr>
        <w:adjustRightInd w:val="0"/>
        <w:snapToGrid w:val="0"/>
        <w:spacing w:line="600" w:lineRule="exact"/>
        <w:ind w:firstLine="640" w:firstLineChars="200"/>
        <w:rPr>
          <w:rFonts w:ascii="仿宋_GB2312" w:hAnsi="方正仿宋_GBK" w:eastAsia="仿宋_GB2312" w:cs="方正仿宋_GBK"/>
          <w:bCs/>
          <w:sz w:val="32"/>
          <w:szCs w:val="32"/>
        </w:rPr>
      </w:pPr>
      <w:bookmarkStart w:id="49" w:name="_Toc30429"/>
      <w:bookmarkStart w:id="50" w:name="_Toc31595"/>
      <w:bookmarkStart w:id="51" w:name="_Toc29573"/>
      <w:bookmarkStart w:id="52" w:name="_Toc12748"/>
      <w:bookmarkStart w:id="53" w:name="_Toc25870"/>
      <w:r>
        <w:rPr>
          <w:rFonts w:ascii="仿宋_GB2312" w:hAnsi="方正仿宋_GBK" w:eastAsia="仿宋_GB2312" w:cs="方正仿宋_GBK"/>
          <w:bCs/>
          <w:sz w:val="32"/>
          <w:szCs w:val="32"/>
        </w:rPr>
        <w:t>本次绩效评价工作经历前期准备、组织实施、评价总结三个阶段。</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54" w:name="_Toc41327847"/>
      <w:bookmarkStart w:id="55" w:name="_Toc41402669"/>
      <w:bookmarkStart w:id="56" w:name="_Toc41401927"/>
      <w:bookmarkStart w:id="57" w:name="_Toc41401321"/>
      <w:bookmarkStart w:id="58" w:name="_Toc67861655"/>
      <w:bookmarkStart w:id="59" w:name="_Toc67934800"/>
      <w:bookmarkStart w:id="60" w:name="_Toc71816031"/>
      <w:bookmarkStart w:id="61" w:name="_Toc41328076"/>
      <w:r>
        <w:rPr>
          <w:rFonts w:hint="eastAsia" w:ascii="仿宋_GB2312" w:hAnsi="方正仿宋_GBK" w:eastAsia="仿宋_GB2312" w:cs="方正仿宋_GBK"/>
          <w:bCs/>
          <w:sz w:val="32"/>
          <w:szCs w:val="32"/>
        </w:rPr>
        <w:t>1.前期准备阶段</w:t>
      </w:r>
      <w:bookmarkEnd w:id="54"/>
      <w:bookmarkEnd w:id="55"/>
      <w:bookmarkEnd w:id="56"/>
      <w:bookmarkEnd w:id="57"/>
      <w:bookmarkEnd w:id="58"/>
      <w:bookmarkEnd w:id="59"/>
      <w:bookmarkEnd w:id="60"/>
      <w:bookmarkEnd w:id="61"/>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（1）成立绩效评价工作组。评价机构组建评价工作组，负责组织、实施绩效评价工作，按照绩效评价工作要求，明确绩效评价目的、内容并完成各项评价任务。</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与项目负责处室沟通并收集资料。评价工作组在明确委托方要求的基础上，确定项目评价重点、评价方式和评价内容。在充分收集项目实施方案、工作总结等资料的基础上，结合项目的实际情况，初步设置评价指标体系。</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62" w:name="_Toc67861656"/>
      <w:bookmarkStart w:id="63" w:name="_Toc41401322"/>
      <w:bookmarkStart w:id="64" w:name="_Toc41328077"/>
      <w:bookmarkStart w:id="65" w:name="_Toc71816032"/>
      <w:bookmarkStart w:id="66" w:name="_Toc41402670"/>
      <w:bookmarkStart w:id="67" w:name="_Toc41327848"/>
      <w:bookmarkStart w:id="68" w:name="_Toc41401928"/>
      <w:bookmarkStart w:id="69" w:name="_Toc67934801"/>
      <w:r>
        <w:rPr>
          <w:rFonts w:hint="eastAsia" w:ascii="仿宋_GB2312" w:hAnsi="方正仿宋_GBK" w:eastAsia="仿宋_GB2312" w:cs="方正仿宋_GBK"/>
          <w:bCs/>
          <w:sz w:val="32"/>
          <w:szCs w:val="32"/>
        </w:rPr>
        <w:t>2.组织实施阶段</w:t>
      </w:r>
      <w:bookmarkEnd w:id="62"/>
      <w:bookmarkEnd w:id="63"/>
      <w:bookmarkEnd w:id="64"/>
      <w:bookmarkEnd w:id="65"/>
      <w:bookmarkEnd w:id="66"/>
      <w:bookmarkEnd w:id="67"/>
      <w:bookmarkEnd w:id="68"/>
      <w:bookmarkEnd w:id="69"/>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评价工作组在查阅相关资料的基础上，就前期梳理的关键问题与服务中心项目相关人员进行沟通交流，结合项目资料审核情况、沟通情况，按照评价指标体系对项目进行综合评价。</w:t>
      </w:r>
    </w:p>
    <w:p>
      <w:pPr>
        <w:adjustRightInd w:val="0"/>
        <w:snapToGrid w:val="0"/>
        <w:spacing w:line="600" w:lineRule="exact"/>
        <w:ind w:firstLine="640" w:firstLineChars="200"/>
        <w:rPr>
          <w:rFonts w:ascii="仿宋_GB2312" w:hAnsi="方正仿宋_GBK" w:eastAsia="仿宋_GB2312" w:cs="方正仿宋_GBK"/>
          <w:bCs/>
          <w:sz w:val="32"/>
          <w:szCs w:val="32"/>
        </w:rPr>
      </w:pPr>
      <w:bookmarkStart w:id="70" w:name="_Toc41401323"/>
      <w:bookmarkStart w:id="71" w:name="_Toc71816033"/>
      <w:bookmarkStart w:id="72" w:name="_Toc41327849"/>
      <w:bookmarkStart w:id="73" w:name="_Toc41328078"/>
      <w:bookmarkStart w:id="74" w:name="_Toc67861657"/>
      <w:bookmarkStart w:id="75" w:name="_Toc41401929"/>
      <w:bookmarkStart w:id="76" w:name="_Toc67934802"/>
      <w:bookmarkStart w:id="77" w:name="_Toc41402671"/>
      <w:r>
        <w:rPr>
          <w:rFonts w:hint="eastAsia" w:ascii="仿宋_GB2312" w:hAnsi="方正仿宋_GBK" w:eastAsia="仿宋_GB2312" w:cs="方正仿宋_GBK"/>
          <w:bCs/>
          <w:sz w:val="32"/>
          <w:szCs w:val="32"/>
        </w:rPr>
        <w:t>3.评价总结阶段</w:t>
      </w:r>
      <w:bookmarkEnd w:id="70"/>
      <w:bookmarkEnd w:id="71"/>
      <w:bookmarkEnd w:id="72"/>
      <w:bookmarkEnd w:id="73"/>
      <w:bookmarkEnd w:id="74"/>
      <w:bookmarkEnd w:id="75"/>
      <w:bookmarkEnd w:id="76"/>
      <w:bookmarkEnd w:id="77"/>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（1）撰写绩效评价报告。综合前期项目资料审核情况，评价工作组按照规定的文本格式撰写评价报告，并征求相关部门意见，评价工作组根据反馈意见修改完善形成报告终稿。</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（2）资料整理归档。绩效评价工作结束后，评价工作组及时收集和整理评价工作资料，归档备查。</w:t>
      </w:r>
    </w:p>
    <w:p>
      <w:pPr>
        <w:adjustRightInd w:val="0"/>
        <w:snapToGrid w:val="0"/>
        <w:spacing w:line="600" w:lineRule="exact"/>
        <w:ind w:firstLine="640" w:firstLineChars="200"/>
        <w:outlineLvl w:val="0"/>
        <w:rPr>
          <w:rFonts w:eastAsia="黑体"/>
          <w:sz w:val="32"/>
          <w:szCs w:val="32"/>
        </w:rPr>
      </w:pPr>
      <w:bookmarkStart w:id="78" w:name="_Toc16781"/>
      <w:r>
        <w:rPr>
          <w:rFonts w:eastAsia="黑体"/>
          <w:sz w:val="32"/>
          <w:szCs w:val="32"/>
        </w:rPr>
        <w:t>三、综合评价情况及评价结论</w:t>
      </w:r>
      <w:bookmarkEnd w:id="49"/>
      <w:bookmarkEnd w:id="50"/>
      <w:bookmarkEnd w:id="51"/>
      <w:bookmarkEnd w:id="52"/>
      <w:bookmarkEnd w:id="53"/>
      <w:bookmarkEnd w:id="78"/>
    </w:p>
    <w:p>
      <w:pPr>
        <w:adjustRightInd w:val="0"/>
        <w:snapToGrid w:val="0"/>
        <w:spacing w:line="600" w:lineRule="exact"/>
        <w:ind w:firstLine="640" w:firstLineChars="200"/>
        <w:rPr>
          <w:rFonts w:ascii="仿宋_GB2312" w:hAnsi="方正仿宋_GBK" w:eastAsia="仿宋_GB2312" w:cs="方正仿宋_GBK"/>
          <w:bCs/>
          <w:sz w:val="32"/>
          <w:szCs w:val="32"/>
        </w:rPr>
      </w:pPr>
      <w:bookmarkStart w:id="79" w:name="_Toc665559475"/>
      <w:r>
        <w:rPr>
          <w:rFonts w:hint="eastAsia" w:ascii="仿宋_GB2312" w:hAnsi="方正仿宋_GBK" w:eastAsia="仿宋_GB2312" w:cs="方正仿宋_GBK"/>
          <w:bCs/>
          <w:sz w:val="32"/>
          <w:szCs w:val="32"/>
        </w:rPr>
        <w:t>2022年天安门广场东西侧路及国旗护卫队移动卫生间服务项目绩效评价综合得分91.74分，其中，项目决策得分9分，项目过程得分18.99分，项目产出得分37分，项目效益得分26.75分，绩效评定级别为“优”。具体情况详见下表：</w:t>
      </w:r>
      <w:bookmarkEnd w:id="79"/>
    </w:p>
    <w:p>
      <w:pPr>
        <w:adjustRightInd w:val="0"/>
        <w:snapToGrid w:val="0"/>
        <w:spacing w:line="600" w:lineRule="exact"/>
        <w:ind w:firstLine="560" w:firstLineChars="200"/>
        <w:jc w:val="center"/>
        <w:rPr>
          <w:rFonts w:eastAsia="黑体"/>
          <w:sz w:val="28"/>
          <w:szCs w:val="28"/>
        </w:rPr>
      </w:pPr>
      <w:r>
        <w:rPr>
          <w:rFonts w:eastAsia="黑体"/>
          <w:sz w:val="28"/>
          <w:szCs w:val="28"/>
        </w:rPr>
        <w:t>综合评价得分情况表</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753"/>
        <w:gridCol w:w="2528"/>
        <w:gridCol w:w="2337"/>
        <w:gridCol w:w="2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jc w:val="center"/>
        </w:trPr>
        <w:tc>
          <w:tcPr>
            <w:tcW w:w="1753" w:type="dxa"/>
            <w:vAlign w:val="center"/>
          </w:tcPr>
          <w:p>
            <w:pPr>
              <w:widowControl/>
              <w:jc w:val="center"/>
              <w:textAlignment w:val="center"/>
              <w:rPr>
                <w:b/>
                <w:bCs/>
                <w:kern w:val="0"/>
                <w:szCs w:val="21"/>
              </w:rPr>
            </w:pPr>
            <w:r>
              <w:rPr>
                <w:b/>
                <w:bCs/>
                <w:kern w:val="0"/>
                <w:szCs w:val="21"/>
              </w:rPr>
              <w:t>一级指标</w:t>
            </w:r>
          </w:p>
        </w:tc>
        <w:tc>
          <w:tcPr>
            <w:tcW w:w="2528" w:type="dxa"/>
            <w:vAlign w:val="center"/>
          </w:tcPr>
          <w:p>
            <w:pPr>
              <w:widowControl/>
              <w:jc w:val="center"/>
              <w:textAlignment w:val="center"/>
              <w:rPr>
                <w:b/>
                <w:bCs/>
                <w:kern w:val="0"/>
                <w:szCs w:val="21"/>
              </w:rPr>
            </w:pPr>
            <w:r>
              <w:rPr>
                <w:b/>
                <w:bCs/>
                <w:kern w:val="0"/>
                <w:szCs w:val="21"/>
              </w:rPr>
              <w:t>分值</w:t>
            </w:r>
          </w:p>
        </w:tc>
        <w:tc>
          <w:tcPr>
            <w:tcW w:w="2337" w:type="dxa"/>
            <w:vAlign w:val="center"/>
          </w:tcPr>
          <w:p>
            <w:pPr>
              <w:widowControl/>
              <w:jc w:val="center"/>
              <w:textAlignment w:val="center"/>
              <w:rPr>
                <w:b/>
                <w:bCs/>
                <w:kern w:val="0"/>
                <w:szCs w:val="21"/>
              </w:rPr>
            </w:pPr>
            <w:r>
              <w:rPr>
                <w:b/>
                <w:bCs/>
                <w:kern w:val="0"/>
                <w:szCs w:val="21"/>
              </w:rPr>
              <w:t>得分</w:t>
            </w:r>
          </w:p>
        </w:tc>
        <w:tc>
          <w:tcPr>
            <w:tcW w:w="2337" w:type="dxa"/>
            <w:vAlign w:val="center"/>
          </w:tcPr>
          <w:p>
            <w:pPr>
              <w:widowControl/>
              <w:jc w:val="center"/>
              <w:textAlignment w:val="center"/>
              <w:rPr>
                <w:b/>
                <w:bCs/>
                <w:kern w:val="0"/>
                <w:szCs w:val="21"/>
              </w:rPr>
            </w:pPr>
            <w:r>
              <w:rPr>
                <w:b/>
                <w:bCs/>
                <w:kern w:val="0"/>
                <w:szCs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53" w:type="dxa"/>
            <w:vAlign w:val="center"/>
          </w:tcPr>
          <w:p>
            <w:pPr>
              <w:widowControl/>
              <w:jc w:val="center"/>
              <w:textAlignment w:val="center"/>
              <w:rPr>
                <w:kern w:val="0"/>
                <w:szCs w:val="21"/>
              </w:rPr>
            </w:pPr>
            <w:r>
              <w:rPr>
                <w:kern w:val="0"/>
                <w:szCs w:val="21"/>
              </w:rPr>
              <w:t>决策</w:t>
            </w:r>
          </w:p>
        </w:tc>
        <w:tc>
          <w:tcPr>
            <w:tcW w:w="2528" w:type="dxa"/>
            <w:vAlign w:val="center"/>
          </w:tcPr>
          <w:p>
            <w:pPr>
              <w:widowControl/>
              <w:jc w:val="center"/>
              <w:textAlignment w:val="center"/>
              <w:rPr>
                <w:kern w:val="0"/>
                <w:szCs w:val="21"/>
              </w:rPr>
            </w:pPr>
            <w:r>
              <w:rPr>
                <w:kern w:val="0"/>
                <w:szCs w:val="21"/>
              </w:rPr>
              <w:t>10</w:t>
            </w:r>
          </w:p>
        </w:tc>
        <w:tc>
          <w:tcPr>
            <w:tcW w:w="2337" w:type="dxa"/>
            <w:vAlign w:val="center"/>
          </w:tcPr>
          <w:p>
            <w:pPr>
              <w:widowControl/>
              <w:jc w:val="center"/>
              <w:textAlignment w:val="center"/>
              <w:rPr>
                <w:kern w:val="0"/>
                <w:szCs w:val="21"/>
              </w:rPr>
            </w:pPr>
            <w:r>
              <w:rPr>
                <w:rFonts w:hint="eastAsia"/>
                <w:kern w:val="0"/>
                <w:szCs w:val="21"/>
              </w:rPr>
              <w:t>9</w:t>
            </w:r>
          </w:p>
        </w:tc>
        <w:tc>
          <w:tcPr>
            <w:tcW w:w="2337" w:type="dxa"/>
            <w:vAlign w:val="center"/>
          </w:tcPr>
          <w:p>
            <w:pPr>
              <w:widowControl/>
              <w:jc w:val="center"/>
              <w:textAlignment w:val="center"/>
              <w:rPr>
                <w:kern w:val="0"/>
                <w:szCs w:val="21"/>
              </w:rPr>
            </w:pPr>
            <w:r>
              <w:rPr>
                <w:rFonts w:hint="eastAsia"/>
                <w:kern w:val="0"/>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53" w:type="dxa"/>
            <w:vAlign w:val="center"/>
          </w:tcPr>
          <w:p>
            <w:pPr>
              <w:widowControl/>
              <w:jc w:val="center"/>
              <w:textAlignment w:val="center"/>
              <w:rPr>
                <w:kern w:val="0"/>
                <w:szCs w:val="21"/>
              </w:rPr>
            </w:pPr>
            <w:r>
              <w:rPr>
                <w:kern w:val="0"/>
                <w:szCs w:val="21"/>
              </w:rPr>
              <w:t>过程</w:t>
            </w:r>
          </w:p>
        </w:tc>
        <w:tc>
          <w:tcPr>
            <w:tcW w:w="2528" w:type="dxa"/>
            <w:vAlign w:val="center"/>
          </w:tcPr>
          <w:p>
            <w:pPr>
              <w:widowControl/>
              <w:jc w:val="center"/>
              <w:textAlignment w:val="center"/>
              <w:rPr>
                <w:kern w:val="0"/>
                <w:szCs w:val="21"/>
              </w:rPr>
            </w:pPr>
            <w:r>
              <w:rPr>
                <w:kern w:val="0"/>
                <w:szCs w:val="21"/>
              </w:rPr>
              <w:t>20</w:t>
            </w:r>
          </w:p>
        </w:tc>
        <w:tc>
          <w:tcPr>
            <w:tcW w:w="2337" w:type="dxa"/>
            <w:vAlign w:val="center"/>
          </w:tcPr>
          <w:p>
            <w:pPr>
              <w:widowControl/>
              <w:jc w:val="center"/>
              <w:textAlignment w:val="center"/>
              <w:rPr>
                <w:kern w:val="0"/>
                <w:szCs w:val="21"/>
              </w:rPr>
            </w:pPr>
            <w:r>
              <w:rPr>
                <w:rFonts w:hint="eastAsia"/>
                <w:kern w:val="0"/>
                <w:szCs w:val="21"/>
              </w:rPr>
              <w:t>18.99</w:t>
            </w:r>
          </w:p>
        </w:tc>
        <w:tc>
          <w:tcPr>
            <w:tcW w:w="2337" w:type="dxa"/>
            <w:vAlign w:val="center"/>
          </w:tcPr>
          <w:p>
            <w:pPr>
              <w:widowControl/>
              <w:jc w:val="center"/>
              <w:textAlignment w:val="center"/>
              <w:rPr>
                <w:kern w:val="0"/>
                <w:szCs w:val="21"/>
              </w:rPr>
            </w:pPr>
            <w:r>
              <w:rPr>
                <w:rFonts w:hint="eastAsia"/>
                <w:kern w:val="0"/>
                <w:szCs w:val="21"/>
              </w:rPr>
              <w:t>94.95%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53" w:type="dxa"/>
            <w:vAlign w:val="center"/>
          </w:tcPr>
          <w:p>
            <w:pPr>
              <w:widowControl/>
              <w:jc w:val="center"/>
              <w:textAlignment w:val="center"/>
              <w:rPr>
                <w:kern w:val="0"/>
                <w:szCs w:val="21"/>
              </w:rPr>
            </w:pPr>
            <w:r>
              <w:rPr>
                <w:kern w:val="0"/>
                <w:szCs w:val="21"/>
              </w:rPr>
              <w:t>产出</w:t>
            </w:r>
          </w:p>
        </w:tc>
        <w:tc>
          <w:tcPr>
            <w:tcW w:w="2528" w:type="dxa"/>
            <w:vAlign w:val="center"/>
          </w:tcPr>
          <w:p>
            <w:pPr>
              <w:widowControl/>
              <w:jc w:val="center"/>
              <w:textAlignment w:val="center"/>
              <w:rPr>
                <w:kern w:val="0"/>
                <w:szCs w:val="21"/>
              </w:rPr>
            </w:pPr>
            <w:r>
              <w:rPr>
                <w:kern w:val="0"/>
                <w:szCs w:val="21"/>
              </w:rPr>
              <w:t>40</w:t>
            </w:r>
          </w:p>
        </w:tc>
        <w:tc>
          <w:tcPr>
            <w:tcW w:w="2337" w:type="dxa"/>
            <w:vAlign w:val="center"/>
          </w:tcPr>
          <w:p>
            <w:pPr>
              <w:widowControl/>
              <w:jc w:val="center"/>
              <w:textAlignment w:val="center"/>
              <w:rPr>
                <w:kern w:val="0"/>
                <w:szCs w:val="21"/>
              </w:rPr>
            </w:pPr>
            <w:r>
              <w:rPr>
                <w:rFonts w:hint="eastAsia"/>
                <w:kern w:val="0"/>
                <w:szCs w:val="21"/>
              </w:rPr>
              <w:t>37</w:t>
            </w:r>
          </w:p>
        </w:tc>
        <w:tc>
          <w:tcPr>
            <w:tcW w:w="2337" w:type="dxa"/>
            <w:vAlign w:val="center"/>
          </w:tcPr>
          <w:p>
            <w:pPr>
              <w:widowControl/>
              <w:jc w:val="center"/>
              <w:textAlignment w:val="center"/>
              <w:rPr>
                <w:kern w:val="0"/>
                <w:szCs w:val="21"/>
              </w:rPr>
            </w:pPr>
            <w:r>
              <w:rPr>
                <w:rFonts w:hint="eastAsia"/>
                <w:kern w:val="0"/>
                <w:szCs w:val="21"/>
              </w:rPr>
              <w:t>92.50%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53" w:type="dxa"/>
            <w:vAlign w:val="center"/>
          </w:tcPr>
          <w:p>
            <w:pPr>
              <w:widowControl/>
              <w:jc w:val="center"/>
              <w:textAlignment w:val="center"/>
              <w:rPr>
                <w:kern w:val="0"/>
                <w:szCs w:val="21"/>
              </w:rPr>
            </w:pPr>
            <w:r>
              <w:rPr>
                <w:kern w:val="0"/>
                <w:szCs w:val="21"/>
              </w:rPr>
              <w:t>效益</w:t>
            </w:r>
          </w:p>
        </w:tc>
        <w:tc>
          <w:tcPr>
            <w:tcW w:w="2528" w:type="dxa"/>
            <w:vAlign w:val="center"/>
          </w:tcPr>
          <w:p>
            <w:pPr>
              <w:widowControl/>
              <w:jc w:val="center"/>
              <w:textAlignment w:val="center"/>
              <w:rPr>
                <w:kern w:val="0"/>
                <w:szCs w:val="21"/>
              </w:rPr>
            </w:pPr>
            <w:r>
              <w:rPr>
                <w:kern w:val="0"/>
                <w:szCs w:val="21"/>
              </w:rPr>
              <w:t>30</w:t>
            </w:r>
          </w:p>
        </w:tc>
        <w:tc>
          <w:tcPr>
            <w:tcW w:w="2337" w:type="dxa"/>
            <w:vAlign w:val="center"/>
          </w:tcPr>
          <w:p>
            <w:pPr>
              <w:widowControl/>
              <w:jc w:val="center"/>
              <w:textAlignment w:val="center"/>
              <w:rPr>
                <w:kern w:val="0"/>
                <w:szCs w:val="21"/>
              </w:rPr>
            </w:pPr>
            <w:r>
              <w:rPr>
                <w:rFonts w:hint="eastAsia"/>
                <w:kern w:val="0"/>
                <w:szCs w:val="21"/>
              </w:rPr>
              <w:t>26.75</w:t>
            </w:r>
          </w:p>
        </w:tc>
        <w:tc>
          <w:tcPr>
            <w:tcW w:w="2337" w:type="dxa"/>
            <w:vAlign w:val="center"/>
          </w:tcPr>
          <w:p>
            <w:pPr>
              <w:widowControl/>
              <w:jc w:val="center"/>
              <w:textAlignment w:val="center"/>
              <w:rPr>
                <w:kern w:val="0"/>
                <w:szCs w:val="21"/>
              </w:rPr>
            </w:pPr>
            <w:r>
              <w:rPr>
                <w:rFonts w:hint="eastAsia"/>
                <w:kern w:val="0"/>
                <w:szCs w:val="21"/>
              </w:rPr>
              <w:t>89.17%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1753" w:type="dxa"/>
            <w:vAlign w:val="center"/>
          </w:tcPr>
          <w:p>
            <w:pPr>
              <w:widowControl/>
              <w:jc w:val="center"/>
              <w:textAlignment w:val="center"/>
              <w:rPr>
                <w:b/>
                <w:bCs/>
                <w:kern w:val="0"/>
                <w:szCs w:val="21"/>
              </w:rPr>
            </w:pPr>
            <w:r>
              <w:rPr>
                <w:b/>
                <w:bCs/>
                <w:kern w:val="0"/>
                <w:szCs w:val="21"/>
              </w:rPr>
              <w:t>合计</w:t>
            </w:r>
          </w:p>
        </w:tc>
        <w:tc>
          <w:tcPr>
            <w:tcW w:w="2528" w:type="dxa"/>
            <w:vAlign w:val="center"/>
          </w:tcPr>
          <w:p>
            <w:pPr>
              <w:widowControl/>
              <w:jc w:val="center"/>
              <w:textAlignment w:val="center"/>
              <w:rPr>
                <w:b/>
                <w:bCs/>
                <w:kern w:val="0"/>
                <w:szCs w:val="21"/>
              </w:rPr>
            </w:pPr>
            <w:r>
              <w:rPr>
                <w:b/>
                <w:bCs/>
                <w:kern w:val="0"/>
                <w:szCs w:val="21"/>
              </w:rPr>
              <w:t>100</w:t>
            </w:r>
          </w:p>
        </w:tc>
        <w:tc>
          <w:tcPr>
            <w:tcW w:w="2337" w:type="dxa"/>
            <w:vAlign w:val="center"/>
          </w:tcPr>
          <w:p>
            <w:pPr>
              <w:widowControl/>
              <w:jc w:val="center"/>
              <w:textAlignment w:val="center"/>
              <w:rPr>
                <w:b/>
                <w:bCs/>
                <w:kern w:val="0"/>
                <w:szCs w:val="21"/>
              </w:rPr>
            </w:pPr>
            <w:r>
              <w:rPr>
                <w:rFonts w:hint="eastAsia"/>
                <w:b/>
                <w:bCs/>
                <w:kern w:val="0"/>
                <w:szCs w:val="21"/>
              </w:rPr>
              <w:t>91.74</w:t>
            </w:r>
          </w:p>
        </w:tc>
        <w:tc>
          <w:tcPr>
            <w:tcW w:w="2337" w:type="dxa"/>
            <w:vAlign w:val="center"/>
          </w:tcPr>
          <w:p>
            <w:pPr>
              <w:widowControl/>
              <w:jc w:val="center"/>
              <w:textAlignment w:val="center"/>
              <w:rPr>
                <w:b/>
                <w:bCs/>
                <w:kern w:val="0"/>
                <w:szCs w:val="21"/>
              </w:rPr>
            </w:pPr>
            <w:r>
              <w:rPr>
                <w:rFonts w:hint="eastAsia"/>
                <w:b/>
                <w:bCs/>
                <w:kern w:val="0"/>
                <w:szCs w:val="21"/>
              </w:rPr>
              <w:t>91.74%</w:t>
            </w:r>
          </w:p>
        </w:tc>
      </w:tr>
    </w:tbl>
    <w:p>
      <w:pPr>
        <w:adjustRightInd w:val="0"/>
        <w:snapToGrid w:val="0"/>
        <w:spacing w:beforeLines="50" w:line="600" w:lineRule="exact"/>
        <w:ind w:firstLine="640" w:firstLineChars="200"/>
        <w:outlineLvl w:val="0"/>
        <w:rPr>
          <w:rFonts w:eastAsia="黑体"/>
          <w:sz w:val="32"/>
          <w:szCs w:val="32"/>
        </w:rPr>
      </w:pPr>
      <w:bookmarkStart w:id="80" w:name="_Toc9160"/>
      <w:bookmarkStart w:id="81" w:name="_Toc15636"/>
      <w:bookmarkStart w:id="82" w:name="_Toc18349"/>
      <w:bookmarkStart w:id="83" w:name="_Toc1963262749"/>
      <w:bookmarkStart w:id="84" w:name="_Toc12749"/>
      <w:bookmarkStart w:id="85" w:name="_Toc8324"/>
      <w:bookmarkStart w:id="86" w:name="_Toc991"/>
      <w:r>
        <w:rPr>
          <w:rFonts w:eastAsia="黑体"/>
          <w:sz w:val="32"/>
          <w:szCs w:val="32"/>
        </w:rPr>
        <w:t>四、绩效评价指标分析</w:t>
      </w:r>
      <w:bookmarkEnd w:id="80"/>
      <w:bookmarkEnd w:id="81"/>
      <w:bookmarkEnd w:id="82"/>
      <w:bookmarkEnd w:id="83"/>
      <w:bookmarkEnd w:id="84"/>
      <w:bookmarkEnd w:id="85"/>
      <w:bookmarkEnd w:id="86"/>
    </w:p>
    <w:p>
      <w:pPr>
        <w:adjustRightInd w:val="0"/>
        <w:snapToGrid w:val="0"/>
        <w:spacing w:line="600" w:lineRule="exact"/>
        <w:ind w:firstLine="640" w:firstLineChars="200"/>
        <w:outlineLvl w:val="1"/>
        <w:rPr>
          <w:rFonts w:eastAsia="楷体_GB2312"/>
          <w:sz w:val="32"/>
          <w:szCs w:val="32"/>
        </w:rPr>
      </w:pPr>
      <w:bookmarkStart w:id="87" w:name="_Toc3062"/>
      <w:bookmarkStart w:id="88" w:name="_Toc22534"/>
      <w:bookmarkStart w:id="89" w:name="_Toc25555"/>
      <w:bookmarkStart w:id="90" w:name="_Toc470786288"/>
      <w:bookmarkStart w:id="91" w:name="_Toc18972"/>
      <w:bookmarkStart w:id="92" w:name="_Toc14930"/>
      <w:bookmarkStart w:id="93" w:name="_Toc8372"/>
      <w:bookmarkStart w:id="94" w:name="_Toc21955"/>
      <w:r>
        <w:rPr>
          <w:rFonts w:eastAsia="楷体_GB2312"/>
          <w:sz w:val="32"/>
          <w:szCs w:val="32"/>
        </w:rPr>
        <w:t>（一）项目决策情况</w:t>
      </w:r>
      <w:bookmarkEnd w:id="87"/>
      <w:bookmarkEnd w:id="88"/>
      <w:bookmarkEnd w:id="89"/>
      <w:bookmarkEnd w:id="90"/>
      <w:bookmarkEnd w:id="91"/>
      <w:bookmarkEnd w:id="92"/>
      <w:bookmarkEnd w:id="93"/>
    </w:p>
    <w:p>
      <w:pPr>
        <w:adjustRightInd w:val="0"/>
        <w:snapToGrid w:val="0"/>
        <w:spacing w:line="600" w:lineRule="exact"/>
        <w:ind w:firstLine="640" w:firstLineChars="200"/>
        <w:rPr>
          <w:rFonts w:ascii="仿宋_GB2312" w:hAnsi="方正仿宋_GBK" w:eastAsia="仿宋_GB2312" w:cs="方正仿宋_GBK"/>
          <w:bCs/>
          <w:sz w:val="32"/>
          <w:szCs w:val="32"/>
        </w:rPr>
      </w:pPr>
      <w:bookmarkStart w:id="95" w:name="_Toc17162"/>
      <w:bookmarkStart w:id="96" w:name="_Toc13758"/>
      <w:bookmarkStart w:id="97" w:name="_Toc1175386868"/>
      <w:bookmarkStart w:id="98" w:name="_Toc24539"/>
      <w:bookmarkStart w:id="99" w:name="_Toc1214"/>
      <w:bookmarkStart w:id="100" w:name="_Toc30094"/>
      <w:r>
        <w:rPr>
          <w:rFonts w:hint="eastAsia" w:ascii="仿宋_GB2312" w:hAnsi="方正仿宋_GBK" w:eastAsia="仿宋_GB2312" w:cs="方正仿宋_GBK"/>
          <w:bCs/>
          <w:sz w:val="32"/>
          <w:szCs w:val="32"/>
        </w:rPr>
        <w:t>项目决策指标分值10分，评价得分9分。下设3个二级指标，6个三级指标。评分详见下表：</w:t>
      </w:r>
    </w:p>
    <w:p>
      <w:pPr>
        <w:adjustRightInd w:val="0"/>
        <w:snapToGrid w:val="0"/>
        <w:spacing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5</w:t>
      </w:r>
      <w:r>
        <w:rPr>
          <w:rFonts w:eastAsia="黑体"/>
          <w:sz w:val="28"/>
          <w:szCs w:val="28"/>
        </w:rPr>
        <w:t xml:space="preserve"> 项目决策指标设定及评分情况表</w:t>
      </w:r>
    </w:p>
    <w:tbl>
      <w:tblPr>
        <w:tblStyle w:val="18"/>
        <w:tblW w:w="4998" w:type="pct"/>
        <w:tblInd w:w="0" w:type="dxa"/>
        <w:tblLayout w:type="autofit"/>
        <w:tblCellMar>
          <w:top w:w="0" w:type="dxa"/>
          <w:left w:w="108" w:type="dxa"/>
          <w:bottom w:w="0" w:type="dxa"/>
          <w:right w:w="108" w:type="dxa"/>
        </w:tblCellMar>
      </w:tblPr>
      <w:tblGrid>
        <w:gridCol w:w="1853"/>
        <w:gridCol w:w="2417"/>
        <w:gridCol w:w="2229"/>
        <w:gridCol w:w="1279"/>
        <w:gridCol w:w="1279"/>
      </w:tblGrid>
      <w:tr>
        <w:tblPrEx>
          <w:tblCellMar>
            <w:top w:w="0" w:type="dxa"/>
            <w:left w:w="108" w:type="dxa"/>
            <w:bottom w:w="0" w:type="dxa"/>
            <w:right w:w="108" w:type="dxa"/>
          </w:tblCellMar>
        </w:tblPrEx>
        <w:trPr>
          <w:trHeight w:val="340" w:hRule="atLeast"/>
          <w:tblHeader/>
        </w:trPr>
        <w:tc>
          <w:tcPr>
            <w:tcW w:w="102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一级指标</w:t>
            </w:r>
          </w:p>
        </w:tc>
        <w:tc>
          <w:tcPr>
            <w:tcW w:w="133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二级指标</w:t>
            </w:r>
          </w:p>
        </w:tc>
        <w:tc>
          <w:tcPr>
            <w:tcW w:w="122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三级指标</w:t>
            </w:r>
          </w:p>
        </w:tc>
        <w:tc>
          <w:tcPr>
            <w:tcW w:w="706"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kern w:val="0"/>
                <w:szCs w:val="21"/>
              </w:rPr>
            </w:pPr>
            <w:r>
              <w:rPr>
                <w:b/>
                <w:bCs/>
                <w:kern w:val="0"/>
                <w:szCs w:val="21"/>
              </w:rPr>
              <w:t>分值</w:t>
            </w:r>
          </w:p>
        </w:tc>
        <w:tc>
          <w:tcPr>
            <w:tcW w:w="7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得分</w:t>
            </w:r>
          </w:p>
        </w:tc>
      </w:tr>
      <w:tr>
        <w:tblPrEx>
          <w:tblCellMar>
            <w:top w:w="0" w:type="dxa"/>
            <w:left w:w="108" w:type="dxa"/>
            <w:bottom w:w="0" w:type="dxa"/>
            <w:right w:w="108" w:type="dxa"/>
          </w:tblCellMar>
        </w:tblPrEx>
        <w:trPr>
          <w:trHeight w:val="340" w:hRule="atLeast"/>
        </w:trPr>
        <w:tc>
          <w:tcPr>
            <w:tcW w:w="1023"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决策</w:t>
            </w:r>
          </w:p>
          <w:p>
            <w:pPr>
              <w:jc w:val="center"/>
              <w:rPr>
                <w:color w:val="000000"/>
                <w:sz w:val="22"/>
              </w:rPr>
            </w:pPr>
            <w:r>
              <w:rPr>
                <w:color w:val="000000"/>
                <w:sz w:val="22"/>
              </w:rPr>
              <w:t>（10分）</w:t>
            </w: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项目立项（</w:t>
            </w:r>
            <w:r>
              <w:rPr>
                <w:rFonts w:hint="eastAsia"/>
                <w:color w:val="000000"/>
                <w:sz w:val="22"/>
              </w:rPr>
              <w:t>3</w:t>
            </w:r>
            <w:r>
              <w:rPr>
                <w:color w:val="000000"/>
                <w:sz w:val="22"/>
              </w:rPr>
              <w:t>分）</w:t>
            </w: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立项依据充分性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r>
      <w:tr>
        <w:tblPrEx>
          <w:tblCellMar>
            <w:top w:w="0" w:type="dxa"/>
            <w:left w:w="108" w:type="dxa"/>
            <w:bottom w:w="0" w:type="dxa"/>
            <w:right w:w="108" w:type="dxa"/>
          </w:tblCellMar>
        </w:tblPrEx>
        <w:trPr>
          <w:trHeight w:val="340" w:hRule="atLeast"/>
        </w:trPr>
        <w:tc>
          <w:tcPr>
            <w:tcW w:w="102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立项程序规范性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102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绩效目标（</w:t>
            </w:r>
            <w:r>
              <w:rPr>
                <w:rFonts w:hint="eastAsia"/>
                <w:color w:val="000000"/>
                <w:sz w:val="22"/>
              </w:rPr>
              <w:t>4</w:t>
            </w:r>
            <w:r>
              <w:rPr>
                <w:color w:val="000000"/>
                <w:sz w:val="22"/>
              </w:rPr>
              <w:t>分）</w:t>
            </w: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绩效目标合理性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r>
      <w:tr>
        <w:tblPrEx>
          <w:tblCellMar>
            <w:top w:w="0" w:type="dxa"/>
            <w:left w:w="108" w:type="dxa"/>
            <w:bottom w:w="0" w:type="dxa"/>
            <w:right w:w="108" w:type="dxa"/>
          </w:tblCellMar>
        </w:tblPrEx>
        <w:trPr>
          <w:trHeight w:val="340" w:hRule="atLeast"/>
        </w:trPr>
        <w:tc>
          <w:tcPr>
            <w:tcW w:w="102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绩效指标明确性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102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资金投入（3分）</w:t>
            </w: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预算编制科学性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2</w:t>
            </w:r>
          </w:p>
        </w:tc>
      </w:tr>
      <w:tr>
        <w:tblPrEx>
          <w:tblCellMar>
            <w:top w:w="0" w:type="dxa"/>
            <w:left w:w="108" w:type="dxa"/>
            <w:bottom w:w="0" w:type="dxa"/>
            <w:right w:w="108" w:type="dxa"/>
          </w:tblCellMar>
        </w:tblPrEx>
        <w:trPr>
          <w:trHeight w:val="340" w:hRule="atLeast"/>
        </w:trPr>
        <w:tc>
          <w:tcPr>
            <w:tcW w:w="1023"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33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1229"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资金分配合理性</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1</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w:t>
            </w:r>
          </w:p>
        </w:tc>
      </w:tr>
      <w:tr>
        <w:tblPrEx>
          <w:tblCellMar>
            <w:top w:w="0" w:type="dxa"/>
            <w:left w:w="108" w:type="dxa"/>
            <w:bottom w:w="0" w:type="dxa"/>
            <w:right w:w="108" w:type="dxa"/>
          </w:tblCellMar>
        </w:tblPrEx>
        <w:trPr>
          <w:trHeight w:val="340" w:hRule="atLeast"/>
        </w:trPr>
        <w:tc>
          <w:tcPr>
            <w:tcW w:w="3587" w:type="pct"/>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小计</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10</w:t>
            </w:r>
          </w:p>
        </w:tc>
        <w:tc>
          <w:tcPr>
            <w:tcW w:w="706" w:type="pc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9</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1.项目立项</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服务中心</w:t>
      </w:r>
      <w:r>
        <w:rPr>
          <w:rFonts w:ascii="仿宋_GB2312" w:hAnsi="方正仿宋_GBK" w:eastAsia="仿宋_GB2312" w:cs="方正仿宋_GBK"/>
          <w:bCs/>
          <w:sz w:val="32"/>
          <w:szCs w:val="32"/>
        </w:rPr>
        <w:t>为天安门地区管委会所属公益一类事业单位，主要职责</w:t>
      </w:r>
      <w:r>
        <w:rPr>
          <w:rFonts w:hint="eastAsia" w:ascii="仿宋_GB2312" w:hAnsi="方正仿宋_GBK" w:eastAsia="仿宋_GB2312" w:cs="方正仿宋_GBK"/>
          <w:bCs/>
          <w:sz w:val="32"/>
          <w:szCs w:val="32"/>
        </w:rPr>
        <w:t>是</w:t>
      </w:r>
      <w:r>
        <w:rPr>
          <w:rFonts w:ascii="仿宋_GB2312" w:hAnsi="方正仿宋_GBK" w:eastAsia="仿宋_GB2312" w:cs="方正仿宋_GBK"/>
          <w:bCs/>
          <w:sz w:val="32"/>
          <w:szCs w:val="32"/>
        </w:rPr>
        <w:t>承担天安门地区相关综合管理、服务保障等事务性工作</w:t>
      </w:r>
      <w:r>
        <w:rPr>
          <w:rFonts w:hint="eastAsia" w:ascii="仿宋_GB2312" w:hAnsi="方正仿宋_GBK" w:eastAsia="仿宋_GB2312" w:cs="方正仿宋_GBK"/>
          <w:bCs/>
          <w:sz w:val="32"/>
          <w:szCs w:val="32"/>
        </w:rPr>
        <w:t>，该</w:t>
      </w:r>
      <w:r>
        <w:rPr>
          <w:rFonts w:ascii="仿宋_GB2312" w:hAnsi="方正仿宋_GBK" w:eastAsia="仿宋_GB2312" w:cs="方正仿宋_GBK"/>
          <w:bCs/>
          <w:sz w:val="32"/>
          <w:szCs w:val="32"/>
        </w:rPr>
        <w:t>项目</w:t>
      </w:r>
      <w:r>
        <w:rPr>
          <w:rFonts w:hint="eastAsia" w:ascii="仿宋_GB2312" w:hAnsi="方正仿宋_GBK" w:eastAsia="仿宋_GB2312" w:cs="方正仿宋_GBK"/>
          <w:bCs/>
          <w:sz w:val="32"/>
          <w:szCs w:val="32"/>
        </w:rPr>
        <w:t>旨在为游客及国旗护卫队官兵提供移动卫生间，解决</w:t>
      </w:r>
      <w:r>
        <w:rPr>
          <w:rFonts w:ascii="仿宋_GB2312" w:hAnsi="方正仿宋_GBK" w:eastAsia="仿宋_GB2312" w:cs="方正仿宋_GBK"/>
          <w:bCs/>
          <w:sz w:val="32"/>
          <w:szCs w:val="32"/>
        </w:rPr>
        <w:t>卫生间供给不足、游客</w:t>
      </w:r>
      <w:r>
        <w:rPr>
          <w:rFonts w:hint="eastAsia" w:ascii="仿宋_GB2312" w:hAnsi="方正仿宋_GBK" w:eastAsia="仿宋_GB2312" w:cs="方正仿宋_GBK"/>
          <w:bCs/>
          <w:sz w:val="32"/>
          <w:szCs w:val="32"/>
        </w:rPr>
        <w:t>及国旗护卫队官兵</w:t>
      </w:r>
      <w:r>
        <w:rPr>
          <w:rFonts w:ascii="仿宋_GB2312" w:hAnsi="方正仿宋_GBK" w:eastAsia="仿宋_GB2312" w:cs="方正仿宋_GBK"/>
          <w:bCs/>
          <w:sz w:val="32"/>
          <w:szCs w:val="32"/>
        </w:rPr>
        <w:t>如厕难</w:t>
      </w:r>
      <w:r>
        <w:rPr>
          <w:rFonts w:hint="eastAsia" w:ascii="仿宋_GB2312" w:hAnsi="方正仿宋_GBK" w:eastAsia="仿宋_GB2312" w:cs="方正仿宋_GBK"/>
          <w:bCs/>
          <w:sz w:val="32"/>
          <w:szCs w:val="32"/>
        </w:rPr>
        <w:t>等问题.</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评价认为，该</w:t>
      </w:r>
      <w:r>
        <w:rPr>
          <w:rFonts w:ascii="仿宋_GB2312" w:hAnsi="方正仿宋_GBK" w:eastAsia="仿宋_GB2312" w:cs="方正仿宋_GBK"/>
          <w:bCs/>
          <w:sz w:val="32"/>
          <w:szCs w:val="32"/>
        </w:rPr>
        <w:t>项目与</w:t>
      </w:r>
      <w:r>
        <w:rPr>
          <w:rFonts w:hint="eastAsia" w:ascii="仿宋_GB2312" w:hAnsi="方正仿宋_GBK" w:eastAsia="仿宋_GB2312" w:cs="方正仿宋_GBK"/>
          <w:bCs/>
          <w:sz w:val="32"/>
          <w:szCs w:val="32"/>
        </w:rPr>
        <w:t>服务中心</w:t>
      </w:r>
      <w:r>
        <w:rPr>
          <w:rFonts w:ascii="仿宋_GB2312" w:hAnsi="方正仿宋_GBK" w:eastAsia="仿宋_GB2312" w:cs="方正仿宋_GBK"/>
          <w:bCs/>
          <w:sz w:val="32"/>
          <w:szCs w:val="32"/>
        </w:rPr>
        <w:t>职责范围相符</w:t>
      </w:r>
      <w:r>
        <w:rPr>
          <w:rFonts w:hint="eastAsia" w:ascii="仿宋_GB2312" w:hAnsi="方正仿宋_GBK" w:eastAsia="仿宋_GB2312" w:cs="方正仿宋_GBK"/>
          <w:bCs/>
          <w:sz w:val="32"/>
          <w:szCs w:val="32"/>
        </w:rPr>
        <w:t>，</w:t>
      </w:r>
      <w:r>
        <w:rPr>
          <w:rFonts w:ascii="仿宋_GB2312" w:hAnsi="方正仿宋_GBK" w:eastAsia="仿宋_GB2312" w:cs="方正仿宋_GBK"/>
          <w:bCs/>
          <w:sz w:val="32"/>
          <w:szCs w:val="32"/>
        </w:rPr>
        <w:t>属于公共财政支持范围</w:t>
      </w:r>
      <w:r>
        <w:rPr>
          <w:rFonts w:hint="eastAsia" w:ascii="仿宋_GB2312" w:hAnsi="方正仿宋_GBK" w:eastAsia="仿宋_GB2312" w:cs="方正仿宋_GBK"/>
          <w:bCs/>
          <w:sz w:val="32"/>
          <w:szCs w:val="32"/>
        </w:rPr>
        <w:t>，属于经常性公共财政支持范围，按照财政部和北京市财政局相关文件规定的开支范围和使用重点进行项目立项和资金安排</w:t>
      </w:r>
      <w:r>
        <w:rPr>
          <w:rFonts w:ascii="仿宋_GB2312" w:hAnsi="方正仿宋_GBK" w:eastAsia="仿宋_GB2312" w:cs="方正仿宋_GBK"/>
          <w:bCs/>
          <w:sz w:val="32"/>
          <w:szCs w:val="32"/>
        </w:rPr>
        <w:t>。</w:t>
      </w:r>
      <w:r>
        <w:rPr>
          <w:rFonts w:hint="eastAsia" w:ascii="仿宋_GB2312" w:hAnsi="方正仿宋_GBK" w:eastAsia="仿宋_GB2312" w:cs="方正仿宋_GBK"/>
          <w:bCs/>
          <w:sz w:val="32"/>
          <w:szCs w:val="32"/>
        </w:rPr>
        <w:t>立项依据充分，决策程序规范，符合法律法规、相关政策、发展规划以及部门职责，符合预算申报程序和“三重一大”决策程序。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2.绩效目标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（1）绩效目标合理性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按照北京市财政局预算绩效管理的要求，该项目较为全面完整地设置了绩效目标及绩效指标，包含数量指标、质量指标、时效指标、经济成本指标、社会效益指标、可持续影响及服务对象满意度指标，对移动卫生间的数量、位置、开放时间等进行考核，项目绩效目标与实际工作内容高度相关。项目预期能够有效解决地区公共卫生间供给不足、游客和国旗护卫队如厕难、等候时间长等问题，提升了天安门地区公共服务水平。评价认为，项目绩效目标及指标设置较为合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（2）绩效指标明确性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将整体绩效目标分解为具体的产出指标、效益指标及满意度指标，并通过清晰、可衡量的指标值予以体现，年度指标值与项目目标计划数相对应，但部分指标不够细化、量化，考核内容不够具体。评价认为，绩效指标明确性有待进一步增强。</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3.资金投入</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2017年，天安门地区管委会委托工程造价公司对广场东西侧路临时厕所及国旗护卫队临时厕所服务费开展预算审核，形成《2017年度广场东西侧路临时厕所及国旗护卫队临时厕所服务费用项目预算审核报告》，根据单体卫生间、抽车、水车、吊车、除冰液与发泡药液的单价、数量，审定广场东西侧路移动卫生间标准为157万元/座/年，国旗护卫队3座移动卫生间全年费用为52.12万元。2022年服务中心参照上述标准编制预算，申请天安门广场东西侧路及毛主席纪念堂南侧移动卫生间服务费445.08万元，国旗护卫队移动卫生间服务费52.10万元。评价认为，项目资金投入科学合理。</w:t>
      </w:r>
    </w:p>
    <w:bookmarkEnd w:id="94"/>
    <w:bookmarkEnd w:id="95"/>
    <w:bookmarkEnd w:id="96"/>
    <w:bookmarkEnd w:id="97"/>
    <w:bookmarkEnd w:id="98"/>
    <w:bookmarkEnd w:id="99"/>
    <w:bookmarkEnd w:id="100"/>
    <w:p>
      <w:pPr>
        <w:adjustRightInd w:val="0"/>
        <w:snapToGrid w:val="0"/>
        <w:spacing w:line="600" w:lineRule="exact"/>
        <w:ind w:firstLine="640" w:firstLineChars="200"/>
        <w:rPr>
          <w:rFonts w:eastAsia="楷体_GB2312"/>
          <w:sz w:val="32"/>
          <w:szCs w:val="32"/>
        </w:rPr>
      </w:pPr>
      <w:bookmarkStart w:id="101" w:name="_Toc35588414"/>
      <w:bookmarkStart w:id="102" w:name="_Toc4455"/>
      <w:bookmarkStart w:id="103" w:name="_Toc35588779"/>
      <w:bookmarkStart w:id="104" w:name="_Toc71816040"/>
      <w:bookmarkStart w:id="105" w:name="_Toc9412"/>
      <w:r>
        <w:rPr>
          <w:rFonts w:eastAsia="楷体_GB2312"/>
          <w:sz w:val="32"/>
          <w:szCs w:val="32"/>
        </w:rPr>
        <w:t>（二）项目过程情况</w:t>
      </w:r>
      <w:bookmarkEnd w:id="101"/>
      <w:bookmarkEnd w:id="102"/>
      <w:bookmarkEnd w:id="103"/>
      <w:bookmarkEnd w:id="104"/>
      <w:bookmarkEnd w:id="105"/>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项目过程指标分值20分，评价得分18.99分。下设2个二级指标，5个三级指标。评分详见下表：</w:t>
      </w:r>
    </w:p>
    <w:p>
      <w:pPr>
        <w:adjustRightInd w:val="0"/>
        <w:snapToGrid w:val="0"/>
        <w:spacing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6</w:t>
      </w:r>
      <w:r>
        <w:rPr>
          <w:rFonts w:eastAsia="黑体"/>
          <w:sz w:val="28"/>
          <w:szCs w:val="28"/>
        </w:rPr>
        <w:t xml:space="preserve"> 项目过程指标设定及评分情况表</w:t>
      </w:r>
    </w:p>
    <w:tbl>
      <w:tblPr>
        <w:tblStyle w:val="18"/>
        <w:tblW w:w="4998" w:type="pct"/>
        <w:tblInd w:w="0" w:type="dxa"/>
        <w:tblLayout w:type="autofit"/>
        <w:tblCellMar>
          <w:top w:w="0" w:type="dxa"/>
          <w:left w:w="108" w:type="dxa"/>
          <w:bottom w:w="0" w:type="dxa"/>
          <w:right w:w="108" w:type="dxa"/>
        </w:tblCellMar>
      </w:tblPr>
      <w:tblGrid>
        <w:gridCol w:w="1854"/>
        <w:gridCol w:w="2417"/>
        <w:gridCol w:w="2227"/>
        <w:gridCol w:w="1279"/>
        <w:gridCol w:w="1280"/>
      </w:tblGrid>
      <w:tr>
        <w:tblPrEx>
          <w:tblCellMar>
            <w:top w:w="0" w:type="dxa"/>
            <w:left w:w="108" w:type="dxa"/>
            <w:bottom w:w="0" w:type="dxa"/>
            <w:right w:w="108" w:type="dxa"/>
          </w:tblCellMar>
        </w:tblPrEx>
        <w:trPr>
          <w:cantSplit/>
          <w:trHeight w:val="289" w:hRule="atLeast"/>
          <w:tblHeader/>
        </w:trPr>
        <w:tc>
          <w:tcPr>
            <w:tcW w:w="102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一级指标</w:t>
            </w:r>
          </w:p>
        </w:tc>
        <w:tc>
          <w:tcPr>
            <w:tcW w:w="133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二级指标</w:t>
            </w:r>
          </w:p>
        </w:tc>
        <w:tc>
          <w:tcPr>
            <w:tcW w:w="122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三级指标</w:t>
            </w:r>
          </w:p>
        </w:tc>
        <w:tc>
          <w:tcPr>
            <w:tcW w:w="706"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kern w:val="0"/>
                <w:szCs w:val="21"/>
              </w:rPr>
            </w:pPr>
            <w:r>
              <w:rPr>
                <w:b/>
                <w:bCs/>
                <w:kern w:val="0"/>
                <w:szCs w:val="21"/>
              </w:rPr>
              <w:t>分值</w:t>
            </w:r>
          </w:p>
        </w:tc>
        <w:tc>
          <w:tcPr>
            <w:tcW w:w="7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kern w:val="0"/>
                <w:szCs w:val="21"/>
              </w:rPr>
            </w:pPr>
            <w:r>
              <w:rPr>
                <w:b/>
                <w:bCs/>
                <w:kern w:val="0"/>
                <w:szCs w:val="21"/>
              </w:rPr>
              <w:t>得分</w:t>
            </w:r>
          </w:p>
        </w:tc>
      </w:tr>
      <w:tr>
        <w:tblPrEx>
          <w:tblCellMar>
            <w:top w:w="0" w:type="dxa"/>
            <w:left w:w="108" w:type="dxa"/>
            <w:bottom w:w="0" w:type="dxa"/>
            <w:right w:w="108" w:type="dxa"/>
          </w:tblCellMar>
        </w:tblPrEx>
        <w:trPr>
          <w:cantSplit/>
          <w:trHeight w:val="289" w:hRule="atLeast"/>
        </w:trPr>
        <w:tc>
          <w:tcPr>
            <w:tcW w:w="1853"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过程</w:t>
            </w:r>
          </w:p>
          <w:p>
            <w:pPr>
              <w:jc w:val="center"/>
              <w:rPr>
                <w:color w:val="000000"/>
                <w:sz w:val="22"/>
              </w:rPr>
            </w:pPr>
            <w:r>
              <w:rPr>
                <w:color w:val="000000"/>
                <w:sz w:val="22"/>
              </w:rPr>
              <w:t>（20分）</w:t>
            </w:r>
          </w:p>
        </w:tc>
        <w:tc>
          <w:tcPr>
            <w:tcW w:w="24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资金管理（1</w:t>
            </w:r>
            <w:r>
              <w:rPr>
                <w:rFonts w:hint="eastAsia"/>
                <w:color w:val="000000"/>
                <w:sz w:val="22"/>
              </w:rPr>
              <w:t>2</w:t>
            </w:r>
            <w:r>
              <w:rPr>
                <w:color w:val="000000"/>
                <w:sz w:val="22"/>
              </w:rPr>
              <w:t>分）</w:t>
            </w:r>
          </w:p>
        </w:tc>
        <w:tc>
          <w:tcPr>
            <w:tcW w:w="22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资金到位率</w:t>
            </w:r>
          </w:p>
        </w:tc>
        <w:tc>
          <w:tcPr>
            <w:tcW w:w="1279" w:type="dxa"/>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2"/>
              </w:rPr>
            </w:pPr>
            <w:r>
              <w:rPr>
                <w:rFonts w:hint="eastAsia"/>
                <w:color w:val="000000"/>
                <w:sz w:val="22"/>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r>
      <w:tr>
        <w:tblPrEx>
          <w:tblCellMar>
            <w:top w:w="0" w:type="dxa"/>
            <w:left w:w="108" w:type="dxa"/>
            <w:bottom w:w="0" w:type="dxa"/>
            <w:right w:w="108" w:type="dxa"/>
          </w:tblCellMar>
        </w:tblPrEx>
        <w:trPr>
          <w:cantSplit/>
          <w:trHeight w:val="289" w:hRule="atLeast"/>
        </w:trPr>
        <w:tc>
          <w:tcPr>
            <w:tcW w:w="18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4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2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预算执行率</w:t>
            </w:r>
          </w:p>
        </w:tc>
        <w:tc>
          <w:tcPr>
            <w:tcW w:w="1279" w:type="dxa"/>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2"/>
              </w:rPr>
            </w:pPr>
            <w:r>
              <w:rPr>
                <w:color w:val="000000"/>
                <w:sz w:val="22"/>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3.99</w:t>
            </w:r>
          </w:p>
        </w:tc>
      </w:tr>
      <w:tr>
        <w:tblPrEx>
          <w:tblCellMar>
            <w:top w:w="0" w:type="dxa"/>
            <w:left w:w="108" w:type="dxa"/>
            <w:bottom w:w="0" w:type="dxa"/>
            <w:right w:w="108" w:type="dxa"/>
          </w:tblCellMar>
        </w:tblPrEx>
        <w:trPr>
          <w:cantSplit/>
          <w:trHeight w:val="289" w:hRule="atLeast"/>
        </w:trPr>
        <w:tc>
          <w:tcPr>
            <w:tcW w:w="18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4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2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资金使用合规性</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r>
      <w:tr>
        <w:tblPrEx>
          <w:tblCellMar>
            <w:top w:w="0" w:type="dxa"/>
            <w:left w:w="108" w:type="dxa"/>
            <w:bottom w:w="0" w:type="dxa"/>
            <w:right w:w="108" w:type="dxa"/>
          </w:tblCellMar>
        </w:tblPrEx>
        <w:trPr>
          <w:cantSplit/>
          <w:trHeight w:val="289" w:hRule="atLeast"/>
        </w:trPr>
        <w:tc>
          <w:tcPr>
            <w:tcW w:w="18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417"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组织实施（</w:t>
            </w:r>
            <w:r>
              <w:rPr>
                <w:rFonts w:hint="eastAsia"/>
                <w:color w:val="000000"/>
                <w:sz w:val="22"/>
              </w:rPr>
              <w:t>8</w:t>
            </w:r>
            <w:r>
              <w:rPr>
                <w:color w:val="000000"/>
                <w:sz w:val="22"/>
              </w:rPr>
              <w:t>分）</w:t>
            </w:r>
          </w:p>
        </w:tc>
        <w:tc>
          <w:tcPr>
            <w:tcW w:w="22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管理制度健全性</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3</w:t>
            </w:r>
          </w:p>
        </w:tc>
      </w:tr>
      <w:tr>
        <w:tblPrEx>
          <w:tblCellMar>
            <w:top w:w="0" w:type="dxa"/>
            <w:left w:w="108" w:type="dxa"/>
            <w:bottom w:w="0" w:type="dxa"/>
            <w:right w:w="108" w:type="dxa"/>
          </w:tblCellMar>
        </w:tblPrEx>
        <w:trPr>
          <w:cantSplit/>
          <w:trHeight w:val="289" w:hRule="atLeast"/>
        </w:trPr>
        <w:tc>
          <w:tcPr>
            <w:tcW w:w="18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4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p>
        </w:tc>
        <w:tc>
          <w:tcPr>
            <w:tcW w:w="22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制度执行有效性</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4</w:t>
            </w:r>
          </w:p>
        </w:tc>
      </w:tr>
      <w:tr>
        <w:tblPrEx>
          <w:tblCellMar>
            <w:top w:w="0" w:type="dxa"/>
            <w:left w:w="108" w:type="dxa"/>
            <w:bottom w:w="0" w:type="dxa"/>
            <w:right w:w="108" w:type="dxa"/>
          </w:tblCellMar>
        </w:tblPrEx>
        <w:trPr>
          <w:cantSplit/>
          <w:trHeight w:val="289" w:hRule="atLeast"/>
        </w:trPr>
        <w:tc>
          <w:tcPr>
            <w:tcW w:w="649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小计</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color w:val="000000"/>
                <w:sz w:val="22"/>
              </w:rPr>
              <w:t>20</w:t>
            </w:r>
          </w:p>
        </w:tc>
        <w:tc>
          <w:tcPr>
            <w:tcW w:w="12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2"/>
              </w:rPr>
            </w:pPr>
            <w:r>
              <w:rPr>
                <w:rFonts w:hint="eastAsia"/>
                <w:color w:val="000000"/>
                <w:sz w:val="22"/>
              </w:rPr>
              <w:t>18.99</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1.资金管理</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2022年度预算为497.18万元，截至2022年12月31日，预算实际执行495.45万元，预算执行率为99.65%，结余资金17347.04元上交财政。评价认为，项目资金使用符合相关财务管理制度规定，符合项目预算批复及合同约定的用途。</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2.组织实施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（1）管理制度健全性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组织实施严格依据《中共天安门地区管理委员会党组关于加强风险防控完善“三重一大”决策制度实施办法》，严格执行天安门地区管理委员会内部控制制度及流程。根据《中共北京市委机构编制委员会关于天安门地区管委会所属事业单位改革有关事项的批复》（京编委〔2021〕41号），服务中心由天安门地区综合服务中心、天安门地区市容环境卫生管理事务中心整合而成。鉴于2022年服务中心仍处于整合期，原有制度作废，服务中心相应财务和业务管理制度参照天安门地区管委会执行，。评价认为，项目实施单位相应财务和业务管理制度管理制度健全性有待提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（2）制度执行有效性</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由服务中心具体组织实施，委托招标代理机构采取公开招标方式，组织北京城市机扫服务有限公司、北京隆盛环境工程有限公司、北京盈川保洁服务有限公司3家单位进行采购。根据综合评议结果，确定北京城市机扫服务有限公司为天安门广场东西侧路及纪念堂南侧移动卫生间服务项目中标单位，成交金额为444.8862万元；委托招标代理机构参照竞争性磋商方式，组织上海易洁环保科技有限公司、江苏美鑫源绿色建筑工程有限公司、上海蓝狮环境科技有限公司3家公司进行采购。根据综合评议结果，确定上海易洁环保科技有限公司为国旗护卫队移动卫生间服务项目服务提供商，成交金额为51.68万元。</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服务中心与中标公司按照合同约定履行双方的权利和义务，项目实施的人员条件、场地设施等严格按照合同约定落实到位。项目执行过程中，服务中心按月进行督查考核，按效付费，项目合同、验收报告等资料齐全并及时归档。评价认为，项目组织管理情况良好。</w:t>
      </w:r>
    </w:p>
    <w:p>
      <w:pPr>
        <w:adjustRightInd w:val="0"/>
        <w:snapToGrid w:val="0"/>
        <w:spacing w:line="600" w:lineRule="exact"/>
        <w:ind w:firstLine="640" w:firstLineChars="200"/>
        <w:outlineLvl w:val="1"/>
        <w:rPr>
          <w:rFonts w:eastAsia="楷体_GB2312"/>
          <w:sz w:val="32"/>
          <w:szCs w:val="32"/>
        </w:rPr>
      </w:pPr>
      <w:bookmarkStart w:id="106" w:name="_Toc71816043"/>
      <w:bookmarkStart w:id="107" w:name="_Toc9522"/>
      <w:bookmarkStart w:id="108" w:name="_Toc6605"/>
      <w:r>
        <w:rPr>
          <w:rFonts w:eastAsia="楷体_GB2312"/>
          <w:sz w:val="32"/>
          <w:szCs w:val="32"/>
        </w:rPr>
        <w:t>（三）项目产出情况</w:t>
      </w:r>
      <w:bookmarkEnd w:id="106"/>
      <w:bookmarkEnd w:id="107"/>
      <w:bookmarkEnd w:id="108"/>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项目产出指标分值40分，评价得分37分。下设4个二级指标，6个三级指标。评分详见下表：</w:t>
      </w:r>
    </w:p>
    <w:p>
      <w:pPr>
        <w:keepNext/>
        <w:adjustRightInd w:val="0"/>
        <w:snapToGrid w:val="0"/>
        <w:spacing w:afterLines="50"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7</w:t>
      </w:r>
      <w:r>
        <w:rPr>
          <w:rFonts w:eastAsia="黑体"/>
          <w:sz w:val="28"/>
          <w:szCs w:val="28"/>
        </w:rPr>
        <w:t xml:space="preserve"> 项目产出指标设定及评分情况表</w:t>
      </w:r>
    </w:p>
    <w:tbl>
      <w:tblPr>
        <w:tblStyle w:val="1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2033"/>
        <w:gridCol w:w="3618"/>
        <w:gridCol w:w="971"/>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trPr>
        <w:tc>
          <w:tcPr>
            <w:tcW w:w="743" w:type="pct"/>
            <w:vAlign w:val="center"/>
          </w:tcPr>
          <w:p>
            <w:pPr>
              <w:widowControl/>
              <w:jc w:val="center"/>
              <w:textAlignment w:val="center"/>
              <w:rPr>
                <w:b/>
                <w:bCs/>
                <w:kern w:val="0"/>
                <w:szCs w:val="21"/>
              </w:rPr>
            </w:pPr>
            <w:r>
              <w:rPr>
                <w:b/>
                <w:bCs/>
                <w:kern w:val="0"/>
                <w:szCs w:val="21"/>
              </w:rPr>
              <w:t>一级指标</w:t>
            </w:r>
          </w:p>
        </w:tc>
        <w:tc>
          <w:tcPr>
            <w:tcW w:w="1122" w:type="pct"/>
            <w:vAlign w:val="center"/>
          </w:tcPr>
          <w:p>
            <w:pPr>
              <w:widowControl/>
              <w:jc w:val="center"/>
              <w:textAlignment w:val="center"/>
              <w:rPr>
                <w:b/>
                <w:bCs/>
                <w:kern w:val="0"/>
                <w:szCs w:val="21"/>
              </w:rPr>
            </w:pPr>
            <w:r>
              <w:rPr>
                <w:b/>
                <w:bCs/>
                <w:kern w:val="0"/>
                <w:szCs w:val="21"/>
              </w:rPr>
              <w:t>二级指标</w:t>
            </w:r>
          </w:p>
        </w:tc>
        <w:tc>
          <w:tcPr>
            <w:tcW w:w="1995" w:type="pct"/>
            <w:vAlign w:val="center"/>
          </w:tcPr>
          <w:p>
            <w:pPr>
              <w:widowControl/>
              <w:jc w:val="center"/>
              <w:textAlignment w:val="center"/>
              <w:rPr>
                <w:b/>
                <w:bCs/>
                <w:kern w:val="0"/>
                <w:szCs w:val="21"/>
              </w:rPr>
            </w:pPr>
            <w:r>
              <w:rPr>
                <w:b/>
                <w:bCs/>
                <w:kern w:val="0"/>
                <w:szCs w:val="21"/>
              </w:rPr>
              <w:t>三级指标</w:t>
            </w:r>
          </w:p>
        </w:tc>
        <w:tc>
          <w:tcPr>
            <w:tcW w:w="536" w:type="pct"/>
            <w:noWrap/>
            <w:vAlign w:val="center"/>
          </w:tcPr>
          <w:p>
            <w:pPr>
              <w:widowControl/>
              <w:jc w:val="center"/>
              <w:textAlignment w:val="center"/>
              <w:rPr>
                <w:b/>
                <w:bCs/>
                <w:kern w:val="0"/>
                <w:szCs w:val="21"/>
              </w:rPr>
            </w:pPr>
            <w:r>
              <w:rPr>
                <w:b/>
                <w:bCs/>
                <w:kern w:val="0"/>
                <w:szCs w:val="21"/>
              </w:rPr>
              <w:t>分值</w:t>
            </w:r>
          </w:p>
        </w:tc>
        <w:tc>
          <w:tcPr>
            <w:tcW w:w="601" w:type="pct"/>
            <w:vAlign w:val="center"/>
          </w:tcPr>
          <w:p>
            <w:pPr>
              <w:widowControl/>
              <w:jc w:val="center"/>
              <w:textAlignment w:val="center"/>
              <w:rPr>
                <w:b/>
                <w:bCs/>
                <w:kern w:val="0"/>
                <w:szCs w:val="21"/>
              </w:rPr>
            </w:pPr>
            <w:r>
              <w:rPr>
                <w:b/>
                <w:bCs/>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743" w:type="pct"/>
            <w:vMerge w:val="restart"/>
            <w:vAlign w:val="center"/>
          </w:tcPr>
          <w:p>
            <w:pPr>
              <w:jc w:val="center"/>
              <w:rPr>
                <w:color w:val="000000"/>
                <w:sz w:val="22"/>
              </w:rPr>
            </w:pPr>
            <w:r>
              <w:rPr>
                <w:color w:val="000000"/>
                <w:sz w:val="22"/>
              </w:rPr>
              <w:t>产出</w:t>
            </w:r>
          </w:p>
          <w:p>
            <w:pPr>
              <w:jc w:val="center"/>
              <w:rPr>
                <w:color w:val="000000"/>
                <w:sz w:val="22"/>
              </w:rPr>
            </w:pPr>
            <w:r>
              <w:rPr>
                <w:color w:val="000000"/>
                <w:sz w:val="22"/>
              </w:rPr>
              <w:t>（40分）</w:t>
            </w:r>
          </w:p>
        </w:tc>
        <w:tc>
          <w:tcPr>
            <w:tcW w:w="1122" w:type="pct"/>
            <w:vMerge w:val="restart"/>
            <w:vAlign w:val="center"/>
          </w:tcPr>
          <w:p>
            <w:pPr>
              <w:jc w:val="center"/>
              <w:rPr>
                <w:color w:val="000000"/>
                <w:sz w:val="22"/>
              </w:rPr>
            </w:pPr>
            <w:r>
              <w:rPr>
                <w:color w:val="000000"/>
                <w:sz w:val="22"/>
              </w:rPr>
              <w:t>产出数量（10分）</w:t>
            </w:r>
          </w:p>
        </w:tc>
        <w:tc>
          <w:tcPr>
            <w:tcW w:w="1995" w:type="pct"/>
            <w:vAlign w:val="center"/>
          </w:tcPr>
          <w:p>
            <w:pPr>
              <w:jc w:val="center"/>
              <w:rPr>
                <w:color w:val="000000"/>
                <w:sz w:val="22"/>
              </w:rPr>
            </w:pPr>
            <w:r>
              <w:rPr>
                <w:color w:val="000000"/>
                <w:sz w:val="22"/>
              </w:rPr>
              <w:t>移动卫生间放置数量</w:t>
            </w:r>
          </w:p>
        </w:tc>
        <w:tc>
          <w:tcPr>
            <w:tcW w:w="536" w:type="pct"/>
            <w:noWrap/>
            <w:vAlign w:val="center"/>
          </w:tcPr>
          <w:p>
            <w:pPr>
              <w:jc w:val="center"/>
              <w:rPr>
                <w:color w:val="000000"/>
                <w:sz w:val="22"/>
              </w:rPr>
            </w:pPr>
            <w:r>
              <w:rPr>
                <w:rFonts w:hint="eastAsia"/>
                <w:color w:val="000000"/>
                <w:sz w:val="22"/>
              </w:rPr>
              <w:t>5</w:t>
            </w:r>
          </w:p>
        </w:tc>
        <w:tc>
          <w:tcPr>
            <w:tcW w:w="601" w:type="pct"/>
            <w:vAlign w:val="center"/>
          </w:tcPr>
          <w:p>
            <w:pPr>
              <w:jc w:val="center"/>
              <w:rPr>
                <w:color w:val="000000"/>
                <w:sz w:val="22"/>
              </w:rPr>
            </w:pPr>
            <w:r>
              <w:rPr>
                <w:rFonts w:hint="eastAsia"/>
                <w:color w:val="00000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743" w:type="pct"/>
            <w:vMerge w:val="continue"/>
            <w:vAlign w:val="center"/>
          </w:tcPr>
          <w:p>
            <w:pPr>
              <w:jc w:val="center"/>
              <w:rPr>
                <w:color w:val="000000"/>
                <w:sz w:val="22"/>
              </w:rPr>
            </w:pPr>
          </w:p>
        </w:tc>
        <w:tc>
          <w:tcPr>
            <w:tcW w:w="1122" w:type="pct"/>
            <w:vMerge w:val="continue"/>
            <w:vAlign w:val="center"/>
          </w:tcPr>
          <w:p>
            <w:pPr>
              <w:jc w:val="center"/>
              <w:rPr>
                <w:color w:val="000000"/>
                <w:sz w:val="22"/>
              </w:rPr>
            </w:pPr>
          </w:p>
        </w:tc>
        <w:tc>
          <w:tcPr>
            <w:tcW w:w="1995" w:type="pct"/>
            <w:vAlign w:val="center"/>
          </w:tcPr>
          <w:p>
            <w:pPr>
              <w:jc w:val="center"/>
              <w:rPr>
                <w:color w:val="000000"/>
                <w:sz w:val="22"/>
              </w:rPr>
            </w:pPr>
            <w:r>
              <w:rPr>
                <w:rFonts w:hint="eastAsia"/>
                <w:color w:val="000000"/>
                <w:sz w:val="22"/>
              </w:rPr>
              <w:t>计划厕位完成数量</w:t>
            </w:r>
          </w:p>
        </w:tc>
        <w:tc>
          <w:tcPr>
            <w:tcW w:w="536" w:type="pct"/>
            <w:noWrap/>
            <w:vAlign w:val="center"/>
          </w:tcPr>
          <w:p>
            <w:pPr>
              <w:jc w:val="center"/>
              <w:rPr>
                <w:color w:val="000000"/>
                <w:sz w:val="22"/>
              </w:rPr>
            </w:pPr>
            <w:r>
              <w:rPr>
                <w:rFonts w:hint="eastAsia"/>
                <w:color w:val="000000"/>
                <w:sz w:val="22"/>
              </w:rPr>
              <w:t>5</w:t>
            </w:r>
          </w:p>
        </w:tc>
        <w:tc>
          <w:tcPr>
            <w:tcW w:w="601" w:type="pct"/>
            <w:vAlign w:val="center"/>
          </w:tcPr>
          <w:p>
            <w:pPr>
              <w:jc w:val="center"/>
              <w:rPr>
                <w:color w:val="000000"/>
                <w:sz w:val="22"/>
              </w:rPr>
            </w:pPr>
            <w:r>
              <w:rPr>
                <w:rFonts w:hint="eastAsia"/>
                <w:color w:val="00000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743" w:type="pct"/>
            <w:vMerge w:val="continue"/>
            <w:vAlign w:val="center"/>
          </w:tcPr>
          <w:p>
            <w:pPr>
              <w:jc w:val="center"/>
              <w:rPr>
                <w:color w:val="000000"/>
                <w:sz w:val="22"/>
              </w:rPr>
            </w:pPr>
          </w:p>
        </w:tc>
        <w:tc>
          <w:tcPr>
            <w:tcW w:w="1122" w:type="pct"/>
            <w:vMerge w:val="restart"/>
            <w:vAlign w:val="center"/>
          </w:tcPr>
          <w:p>
            <w:pPr>
              <w:jc w:val="center"/>
              <w:rPr>
                <w:color w:val="000000"/>
                <w:sz w:val="22"/>
              </w:rPr>
            </w:pPr>
            <w:r>
              <w:rPr>
                <w:color w:val="000000"/>
                <w:sz w:val="22"/>
              </w:rPr>
              <w:t>产出质量（10分）</w:t>
            </w:r>
          </w:p>
        </w:tc>
        <w:tc>
          <w:tcPr>
            <w:tcW w:w="1995" w:type="pct"/>
            <w:vAlign w:val="center"/>
          </w:tcPr>
          <w:p>
            <w:pPr>
              <w:jc w:val="center"/>
              <w:rPr>
                <w:color w:val="000000"/>
                <w:sz w:val="22"/>
              </w:rPr>
            </w:pPr>
            <w:r>
              <w:rPr>
                <w:rFonts w:hint="eastAsia"/>
                <w:color w:val="000000"/>
                <w:sz w:val="22"/>
              </w:rPr>
              <w:t>移动卫生间异味情况</w:t>
            </w:r>
          </w:p>
        </w:tc>
        <w:tc>
          <w:tcPr>
            <w:tcW w:w="536" w:type="pct"/>
            <w:noWrap/>
            <w:vAlign w:val="center"/>
          </w:tcPr>
          <w:p>
            <w:pPr>
              <w:jc w:val="center"/>
              <w:rPr>
                <w:color w:val="000000"/>
                <w:sz w:val="22"/>
              </w:rPr>
            </w:pPr>
            <w:r>
              <w:rPr>
                <w:rFonts w:hint="eastAsia"/>
                <w:color w:val="000000"/>
                <w:sz w:val="22"/>
              </w:rPr>
              <w:t>5</w:t>
            </w:r>
          </w:p>
        </w:tc>
        <w:tc>
          <w:tcPr>
            <w:tcW w:w="601" w:type="pct"/>
            <w:vAlign w:val="center"/>
          </w:tcPr>
          <w:p>
            <w:pPr>
              <w:jc w:val="center"/>
              <w:rPr>
                <w:color w:val="000000"/>
                <w:sz w:val="22"/>
              </w:rPr>
            </w:pPr>
            <w:r>
              <w:rPr>
                <w:rFonts w:hint="eastAsia"/>
                <w:color w:val="00000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743" w:type="pct"/>
            <w:vMerge w:val="continue"/>
            <w:vAlign w:val="center"/>
          </w:tcPr>
          <w:p>
            <w:pPr>
              <w:jc w:val="center"/>
              <w:rPr>
                <w:color w:val="000000"/>
                <w:sz w:val="22"/>
              </w:rPr>
            </w:pPr>
          </w:p>
        </w:tc>
        <w:tc>
          <w:tcPr>
            <w:tcW w:w="1122" w:type="pct"/>
            <w:vMerge w:val="continue"/>
            <w:vAlign w:val="center"/>
          </w:tcPr>
          <w:p>
            <w:pPr>
              <w:jc w:val="center"/>
              <w:rPr>
                <w:color w:val="000000"/>
                <w:sz w:val="22"/>
              </w:rPr>
            </w:pPr>
          </w:p>
        </w:tc>
        <w:tc>
          <w:tcPr>
            <w:tcW w:w="1995" w:type="pct"/>
            <w:vAlign w:val="center"/>
          </w:tcPr>
          <w:p>
            <w:pPr>
              <w:jc w:val="center"/>
              <w:rPr>
                <w:rFonts w:eastAsia="仿宋_GB2312"/>
                <w:color w:val="000000"/>
                <w:sz w:val="22"/>
              </w:rPr>
            </w:pPr>
            <w:r>
              <w:rPr>
                <w:rFonts w:hint="eastAsia"/>
                <w:color w:val="000000"/>
                <w:sz w:val="22"/>
              </w:rPr>
              <w:t>厕纸、洗手液配置充足率</w:t>
            </w:r>
          </w:p>
        </w:tc>
        <w:tc>
          <w:tcPr>
            <w:tcW w:w="536" w:type="pct"/>
            <w:noWrap/>
            <w:vAlign w:val="center"/>
          </w:tcPr>
          <w:p>
            <w:pPr>
              <w:jc w:val="center"/>
              <w:rPr>
                <w:color w:val="000000"/>
                <w:sz w:val="22"/>
              </w:rPr>
            </w:pPr>
            <w:r>
              <w:rPr>
                <w:rFonts w:hint="eastAsia"/>
                <w:color w:val="000000"/>
                <w:sz w:val="22"/>
              </w:rPr>
              <w:t>5</w:t>
            </w:r>
          </w:p>
        </w:tc>
        <w:tc>
          <w:tcPr>
            <w:tcW w:w="601" w:type="pct"/>
            <w:vAlign w:val="center"/>
          </w:tcPr>
          <w:p>
            <w:pPr>
              <w:jc w:val="center"/>
              <w:rPr>
                <w:color w:val="000000"/>
                <w:sz w:val="22"/>
              </w:rPr>
            </w:pPr>
            <w:r>
              <w:rPr>
                <w:rFonts w:hint="eastAsia"/>
                <w:color w:val="00000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743" w:type="pct"/>
            <w:vMerge w:val="continue"/>
            <w:vAlign w:val="center"/>
          </w:tcPr>
          <w:p>
            <w:pPr>
              <w:jc w:val="center"/>
              <w:rPr>
                <w:color w:val="000000"/>
                <w:sz w:val="22"/>
              </w:rPr>
            </w:pPr>
          </w:p>
        </w:tc>
        <w:tc>
          <w:tcPr>
            <w:tcW w:w="1122" w:type="pct"/>
            <w:vAlign w:val="center"/>
          </w:tcPr>
          <w:p>
            <w:pPr>
              <w:jc w:val="center"/>
              <w:rPr>
                <w:color w:val="000000"/>
                <w:sz w:val="22"/>
              </w:rPr>
            </w:pPr>
            <w:r>
              <w:rPr>
                <w:color w:val="000000"/>
                <w:sz w:val="22"/>
              </w:rPr>
              <w:t>产出时效（10分）</w:t>
            </w:r>
          </w:p>
        </w:tc>
        <w:tc>
          <w:tcPr>
            <w:tcW w:w="1995" w:type="pct"/>
            <w:vAlign w:val="center"/>
          </w:tcPr>
          <w:p>
            <w:pPr>
              <w:jc w:val="center"/>
              <w:rPr>
                <w:color w:val="000000"/>
                <w:sz w:val="22"/>
              </w:rPr>
            </w:pPr>
            <w:r>
              <w:rPr>
                <w:color w:val="000000"/>
                <w:sz w:val="22"/>
              </w:rPr>
              <w:t>移动卫生间按时服务情况</w:t>
            </w:r>
          </w:p>
        </w:tc>
        <w:tc>
          <w:tcPr>
            <w:tcW w:w="536" w:type="pct"/>
            <w:noWrap/>
            <w:vAlign w:val="center"/>
          </w:tcPr>
          <w:p>
            <w:pPr>
              <w:jc w:val="center"/>
              <w:rPr>
                <w:color w:val="000000"/>
                <w:sz w:val="22"/>
              </w:rPr>
            </w:pPr>
            <w:r>
              <w:rPr>
                <w:rFonts w:hint="eastAsia"/>
                <w:color w:val="000000"/>
                <w:sz w:val="22"/>
              </w:rPr>
              <w:t>10</w:t>
            </w:r>
          </w:p>
        </w:tc>
        <w:tc>
          <w:tcPr>
            <w:tcW w:w="601"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743" w:type="pct"/>
            <w:vMerge w:val="continue"/>
            <w:vAlign w:val="center"/>
          </w:tcPr>
          <w:p>
            <w:pPr>
              <w:jc w:val="center"/>
              <w:rPr>
                <w:color w:val="000000"/>
                <w:sz w:val="22"/>
              </w:rPr>
            </w:pPr>
          </w:p>
        </w:tc>
        <w:tc>
          <w:tcPr>
            <w:tcW w:w="1122" w:type="pct"/>
            <w:vAlign w:val="center"/>
          </w:tcPr>
          <w:p>
            <w:pPr>
              <w:jc w:val="center"/>
              <w:rPr>
                <w:color w:val="000000"/>
                <w:sz w:val="22"/>
              </w:rPr>
            </w:pPr>
            <w:r>
              <w:rPr>
                <w:color w:val="000000"/>
                <w:sz w:val="22"/>
              </w:rPr>
              <w:t>产出成本（10分）</w:t>
            </w:r>
          </w:p>
        </w:tc>
        <w:tc>
          <w:tcPr>
            <w:tcW w:w="1995" w:type="pct"/>
            <w:vAlign w:val="center"/>
          </w:tcPr>
          <w:p>
            <w:pPr>
              <w:jc w:val="center"/>
              <w:rPr>
                <w:color w:val="000000"/>
                <w:sz w:val="22"/>
              </w:rPr>
            </w:pPr>
            <w:r>
              <w:rPr>
                <w:rFonts w:hint="eastAsia"/>
                <w:color w:val="000000"/>
                <w:sz w:val="22"/>
              </w:rPr>
              <w:t>移动卫生间服务成本控制情况</w:t>
            </w:r>
          </w:p>
        </w:tc>
        <w:tc>
          <w:tcPr>
            <w:tcW w:w="536" w:type="pct"/>
            <w:noWrap/>
            <w:vAlign w:val="center"/>
          </w:tcPr>
          <w:p>
            <w:pPr>
              <w:jc w:val="center"/>
              <w:rPr>
                <w:color w:val="000000"/>
                <w:sz w:val="22"/>
              </w:rPr>
            </w:pPr>
            <w:r>
              <w:rPr>
                <w:color w:val="000000"/>
                <w:sz w:val="22"/>
              </w:rPr>
              <w:t>10</w:t>
            </w:r>
          </w:p>
        </w:tc>
        <w:tc>
          <w:tcPr>
            <w:tcW w:w="601" w:type="pct"/>
            <w:vAlign w:val="center"/>
          </w:tcPr>
          <w:p>
            <w:pPr>
              <w:jc w:val="center"/>
              <w:rPr>
                <w:color w:val="000000"/>
                <w:sz w:val="22"/>
              </w:rPr>
            </w:pPr>
            <w:r>
              <w:rPr>
                <w:color w:val="000000"/>
                <w:sz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3862" w:type="pct"/>
            <w:gridSpan w:val="3"/>
            <w:vAlign w:val="center"/>
          </w:tcPr>
          <w:p>
            <w:pPr>
              <w:jc w:val="center"/>
              <w:rPr>
                <w:color w:val="000000"/>
                <w:sz w:val="22"/>
              </w:rPr>
            </w:pPr>
            <w:r>
              <w:rPr>
                <w:color w:val="000000"/>
                <w:sz w:val="22"/>
              </w:rPr>
              <w:t>小计</w:t>
            </w:r>
          </w:p>
        </w:tc>
        <w:tc>
          <w:tcPr>
            <w:tcW w:w="536" w:type="pct"/>
            <w:noWrap/>
            <w:vAlign w:val="center"/>
          </w:tcPr>
          <w:p>
            <w:pPr>
              <w:jc w:val="center"/>
              <w:rPr>
                <w:color w:val="000000"/>
                <w:sz w:val="22"/>
              </w:rPr>
            </w:pPr>
            <w:r>
              <w:rPr>
                <w:color w:val="000000"/>
                <w:sz w:val="22"/>
              </w:rPr>
              <w:t>40</w:t>
            </w:r>
          </w:p>
        </w:tc>
        <w:tc>
          <w:tcPr>
            <w:tcW w:w="601" w:type="pct"/>
            <w:vAlign w:val="center"/>
          </w:tcPr>
          <w:p>
            <w:pPr>
              <w:jc w:val="center"/>
              <w:rPr>
                <w:color w:val="000000"/>
                <w:sz w:val="22"/>
              </w:rPr>
            </w:pPr>
            <w:r>
              <w:rPr>
                <w:rFonts w:hint="eastAsia"/>
                <w:color w:val="000000"/>
                <w:sz w:val="22"/>
              </w:rPr>
              <w:t>37</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1.产出数量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2022年共设置9座移动卫生间，其中6座供游客使用，3座供国旗护卫队使用，完成了年度指标值“7座”。厕位数共计56个，完成年度指标值50个。评价认为，项目整体产出数量情况较好。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2.产出质量</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通过开展月度督查工作，移动卫生间内无异味率达98%，卫生间内卫生质量较高；厕纸、洗手液配置充足率为100%，能够满足游客及官兵如厕需求。评价认为，项目产出质量情况较好。</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3.产出成本</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该项目仅以预算金额作为经济成本指标值上限，未制定细化且具有约束力的成本指标。评价认为，成本控制仍有提升空间。</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4.产出时效</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方案制定和前期准备时间、招标采购时间、服务保障时间均按照计划完成，疫情期间未出现进度延缓的情形。评价认为，项目产出时效情况较好。</w:t>
      </w:r>
    </w:p>
    <w:p>
      <w:pPr>
        <w:adjustRightInd w:val="0"/>
        <w:snapToGrid w:val="0"/>
        <w:spacing w:line="600" w:lineRule="exact"/>
        <w:ind w:firstLine="640" w:firstLineChars="200"/>
        <w:outlineLvl w:val="1"/>
        <w:rPr>
          <w:rFonts w:eastAsia="楷体_GB2312"/>
          <w:sz w:val="32"/>
          <w:szCs w:val="32"/>
        </w:rPr>
      </w:pPr>
      <w:bookmarkStart w:id="109" w:name="_Toc8423"/>
      <w:bookmarkStart w:id="110" w:name="_Toc71816048"/>
      <w:bookmarkStart w:id="111" w:name="_Toc35588781"/>
      <w:bookmarkStart w:id="112" w:name="_Toc350"/>
      <w:bookmarkStart w:id="113" w:name="_Toc35588422"/>
      <w:r>
        <w:rPr>
          <w:rFonts w:eastAsia="楷体_GB2312"/>
          <w:sz w:val="32"/>
          <w:szCs w:val="32"/>
        </w:rPr>
        <w:t>（四）项目效益情况</w:t>
      </w:r>
      <w:bookmarkEnd w:id="109"/>
      <w:bookmarkEnd w:id="110"/>
      <w:bookmarkEnd w:id="111"/>
      <w:bookmarkEnd w:id="112"/>
      <w:bookmarkEnd w:id="113"/>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项目效益指标分值30分，评价得分26.75分。下设1个二级指标，3个三级指标。评分详见下表：</w:t>
      </w:r>
    </w:p>
    <w:p>
      <w:pPr>
        <w:adjustRightInd w:val="0"/>
        <w:snapToGrid w:val="0"/>
        <w:spacing w:afterLines="50" w:line="600" w:lineRule="exact"/>
        <w:ind w:firstLine="560" w:firstLineChars="200"/>
        <w:jc w:val="center"/>
        <w:rPr>
          <w:rFonts w:eastAsia="黑体"/>
          <w:sz w:val="28"/>
          <w:szCs w:val="28"/>
        </w:rPr>
      </w:pPr>
      <w:r>
        <w:rPr>
          <w:rFonts w:eastAsia="黑体"/>
          <w:sz w:val="28"/>
          <w:szCs w:val="28"/>
        </w:rPr>
        <w:t>表</w:t>
      </w:r>
      <w:r>
        <w:rPr>
          <w:rFonts w:hint="eastAsia" w:eastAsia="黑体"/>
          <w:sz w:val="28"/>
          <w:szCs w:val="28"/>
        </w:rPr>
        <w:t>8</w:t>
      </w:r>
      <w:r>
        <w:rPr>
          <w:rFonts w:eastAsia="黑体"/>
          <w:sz w:val="28"/>
          <w:szCs w:val="28"/>
        </w:rPr>
        <w:t xml:space="preserve"> 项目效益指标设定及评分情况表</w:t>
      </w:r>
    </w:p>
    <w:tbl>
      <w:tblPr>
        <w:tblStyle w:val="1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672"/>
        <w:gridCol w:w="4451"/>
        <w:gridCol w:w="696"/>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20" w:type="pct"/>
            <w:vAlign w:val="center"/>
          </w:tcPr>
          <w:p>
            <w:pPr>
              <w:widowControl/>
              <w:jc w:val="center"/>
              <w:textAlignment w:val="center"/>
              <w:rPr>
                <w:b/>
                <w:bCs/>
                <w:kern w:val="0"/>
                <w:szCs w:val="21"/>
              </w:rPr>
            </w:pPr>
            <w:r>
              <w:rPr>
                <w:b/>
                <w:bCs/>
                <w:kern w:val="0"/>
                <w:szCs w:val="21"/>
              </w:rPr>
              <w:t>一级指标</w:t>
            </w:r>
          </w:p>
        </w:tc>
        <w:tc>
          <w:tcPr>
            <w:tcW w:w="923" w:type="pct"/>
            <w:vAlign w:val="center"/>
          </w:tcPr>
          <w:p>
            <w:pPr>
              <w:widowControl/>
              <w:jc w:val="center"/>
              <w:textAlignment w:val="center"/>
              <w:rPr>
                <w:b/>
                <w:bCs/>
                <w:kern w:val="0"/>
                <w:szCs w:val="21"/>
              </w:rPr>
            </w:pPr>
            <w:r>
              <w:rPr>
                <w:b/>
                <w:bCs/>
                <w:kern w:val="0"/>
                <w:szCs w:val="21"/>
              </w:rPr>
              <w:t>二级指标</w:t>
            </w:r>
          </w:p>
        </w:tc>
        <w:tc>
          <w:tcPr>
            <w:tcW w:w="2457" w:type="pct"/>
            <w:vAlign w:val="center"/>
          </w:tcPr>
          <w:p>
            <w:pPr>
              <w:widowControl/>
              <w:jc w:val="center"/>
              <w:textAlignment w:val="center"/>
              <w:rPr>
                <w:b/>
                <w:bCs/>
                <w:kern w:val="0"/>
                <w:szCs w:val="21"/>
              </w:rPr>
            </w:pPr>
            <w:r>
              <w:rPr>
                <w:b/>
                <w:bCs/>
                <w:kern w:val="0"/>
                <w:szCs w:val="21"/>
              </w:rPr>
              <w:t>三级指标</w:t>
            </w:r>
          </w:p>
        </w:tc>
        <w:tc>
          <w:tcPr>
            <w:tcW w:w="384" w:type="pct"/>
            <w:noWrap/>
            <w:vAlign w:val="center"/>
          </w:tcPr>
          <w:p>
            <w:pPr>
              <w:widowControl/>
              <w:jc w:val="center"/>
              <w:textAlignment w:val="center"/>
              <w:rPr>
                <w:b/>
                <w:bCs/>
                <w:kern w:val="0"/>
                <w:szCs w:val="21"/>
              </w:rPr>
            </w:pPr>
            <w:r>
              <w:rPr>
                <w:b/>
                <w:bCs/>
                <w:kern w:val="0"/>
                <w:szCs w:val="21"/>
              </w:rPr>
              <w:t>分值</w:t>
            </w:r>
          </w:p>
        </w:tc>
        <w:tc>
          <w:tcPr>
            <w:tcW w:w="516" w:type="pct"/>
            <w:vAlign w:val="center"/>
          </w:tcPr>
          <w:p>
            <w:pPr>
              <w:widowControl/>
              <w:jc w:val="center"/>
              <w:textAlignment w:val="center"/>
              <w:rPr>
                <w:b/>
                <w:bCs/>
                <w:kern w:val="0"/>
                <w:szCs w:val="21"/>
              </w:rPr>
            </w:pPr>
            <w:r>
              <w:rPr>
                <w:b/>
                <w:bCs/>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0" w:type="pct"/>
            <w:vMerge w:val="restart"/>
            <w:vAlign w:val="center"/>
          </w:tcPr>
          <w:p>
            <w:pPr>
              <w:jc w:val="center"/>
              <w:rPr>
                <w:color w:val="000000"/>
                <w:sz w:val="22"/>
              </w:rPr>
            </w:pPr>
            <w:r>
              <w:rPr>
                <w:color w:val="000000"/>
                <w:sz w:val="22"/>
              </w:rPr>
              <w:t>效益</w:t>
            </w:r>
          </w:p>
          <w:p>
            <w:pPr>
              <w:jc w:val="center"/>
              <w:rPr>
                <w:color w:val="000000"/>
                <w:sz w:val="22"/>
              </w:rPr>
            </w:pPr>
            <w:r>
              <w:rPr>
                <w:color w:val="000000"/>
                <w:sz w:val="22"/>
              </w:rPr>
              <w:t>（30分）</w:t>
            </w:r>
          </w:p>
        </w:tc>
        <w:tc>
          <w:tcPr>
            <w:tcW w:w="923" w:type="pct"/>
            <w:vMerge w:val="restart"/>
            <w:vAlign w:val="center"/>
          </w:tcPr>
          <w:p>
            <w:pPr>
              <w:jc w:val="center"/>
              <w:rPr>
                <w:color w:val="000000"/>
                <w:sz w:val="22"/>
              </w:rPr>
            </w:pPr>
            <w:r>
              <w:rPr>
                <w:color w:val="000000"/>
                <w:sz w:val="22"/>
              </w:rPr>
              <w:t>项目效益</w:t>
            </w:r>
          </w:p>
          <w:p>
            <w:pPr>
              <w:jc w:val="center"/>
              <w:rPr>
                <w:color w:val="000000"/>
                <w:sz w:val="22"/>
              </w:rPr>
            </w:pPr>
            <w:r>
              <w:rPr>
                <w:color w:val="000000"/>
                <w:sz w:val="22"/>
              </w:rPr>
              <w:t>（30分）</w:t>
            </w:r>
          </w:p>
        </w:tc>
        <w:tc>
          <w:tcPr>
            <w:tcW w:w="2457" w:type="pct"/>
            <w:vAlign w:val="center"/>
          </w:tcPr>
          <w:p>
            <w:pPr>
              <w:jc w:val="center"/>
              <w:rPr>
                <w:color w:val="000000"/>
                <w:sz w:val="22"/>
              </w:rPr>
            </w:pPr>
            <w:r>
              <w:rPr>
                <w:rFonts w:hint="eastAsia"/>
                <w:color w:val="000000"/>
                <w:sz w:val="22"/>
              </w:rPr>
              <w:t>有效解决游客、国旗护卫队如厕难问题</w:t>
            </w:r>
          </w:p>
        </w:tc>
        <w:tc>
          <w:tcPr>
            <w:tcW w:w="384" w:type="pct"/>
            <w:noWrap/>
            <w:vAlign w:val="center"/>
          </w:tcPr>
          <w:p>
            <w:pPr>
              <w:jc w:val="center"/>
              <w:rPr>
                <w:color w:val="000000"/>
                <w:sz w:val="22"/>
              </w:rPr>
            </w:pPr>
            <w:r>
              <w:rPr>
                <w:rFonts w:hint="eastAsia"/>
                <w:color w:val="000000"/>
                <w:sz w:val="22"/>
              </w:rPr>
              <w:t>10</w:t>
            </w:r>
          </w:p>
        </w:tc>
        <w:tc>
          <w:tcPr>
            <w:tcW w:w="516" w:type="pct"/>
            <w:vAlign w:val="center"/>
          </w:tcPr>
          <w:p>
            <w:pPr>
              <w:jc w:val="center"/>
              <w:rPr>
                <w:color w:val="000000"/>
                <w:sz w:val="22"/>
              </w:rPr>
            </w:pPr>
            <w:r>
              <w:rPr>
                <w:rFonts w:hint="eastAsia"/>
                <w:color w:val="000000"/>
                <w:sz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0" w:type="pct"/>
            <w:vMerge w:val="continue"/>
            <w:vAlign w:val="center"/>
          </w:tcPr>
          <w:p>
            <w:pPr>
              <w:jc w:val="center"/>
              <w:rPr>
                <w:color w:val="000000"/>
                <w:sz w:val="22"/>
              </w:rPr>
            </w:pPr>
          </w:p>
        </w:tc>
        <w:tc>
          <w:tcPr>
            <w:tcW w:w="923" w:type="pct"/>
            <w:vMerge w:val="continue"/>
            <w:vAlign w:val="center"/>
          </w:tcPr>
          <w:p>
            <w:pPr>
              <w:jc w:val="center"/>
              <w:rPr>
                <w:color w:val="000000"/>
                <w:sz w:val="22"/>
              </w:rPr>
            </w:pPr>
          </w:p>
        </w:tc>
        <w:tc>
          <w:tcPr>
            <w:tcW w:w="2457" w:type="pct"/>
            <w:vAlign w:val="center"/>
          </w:tcPr>
          <w:p>
            <w:pPr>
              <w:jc w:val="center"/>
              <w:rPr>
                <w:color w:val="000000"/>
                <w:sz w:val="22"/>
              </w:rPr>
            </w:pPr>
            <w:r>
              <w:rPr>
                <w:rFonts w:hint="eastAsia"/>
                <w:color w:val="000000"/>
                <w:sz w:val="22"/>
              </w:rPr>
              <w:t>有效提升天安门地区公共服务水平</w:t>
            </w:r>
          </w:p>
        </w:tc>
        <w:tc>
          <w:tcPr>
            <w:tcW w:w="384" w:type="pct"/>
            <w:noWrap/>
            <w:vAlign w:val="center"/>
          </w:tcPr>
          <w:p>
            <w:pPr>
              <w:jc w:val="center"/>
              <w:rPr>
                <w:color w:val="000000"/>
                <w:sz w:val="22"/>
              </w:rPr>
            </w:pPr>
            <w:r>
              <w:rPr>
                <w:rFonts w:hint="eastAsia"/>
                <w:color w:val="000000"/>
                <w:sz w:val="22"/>
              </w:rPr>
              <w:t>10</w:t>
            </w:r>
          </w:p>
        </w:tc>
        <w:tc>
          <w:tcPr>
            <w:tcW w:w="516" w:type="pct"/>
            <w:vAlign w:val="center"/>
          </w:tcPr>
          <w:p>
            <w:pPr>
              <w:jc w:val="center"/>
              <w:rPr>
                <w:color w:val="000000"/>
                <w:sz w:val="22"/>
              </w:rPr>
            </w:pPr>
            <w:r>
              <w:rPr>
                <w:rFonts w:hint="eastAsia"/>
                <w:color w:val="00000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0" w:type="pct"/>
            <w:vMerge w:val="continue"/>
            <w:vAlign w:val="center"/>
          </w:tcPr>
          <w:p>
            <w:pPr>
              <w:jc w:val="center"/>
              <w:rPr>
                <w:color w:val="000000"/>
                <w:sz w:val="22"/>
              </w:rPr>
            </w:pPr>
          </w:p>
        </w:tc>
        <w:tc>
          <w:tcPr>
            <w:tcW w:w="923" w:type="pct"/>
            <w:vMerge w:val="continue"/>
            <w:vAlign w:val="center"/>
          </w:tcPr>
          <w:p>
            <w:pPr>
              <w:jc w:val="center"/>
              <w:rPr>
                <w:color w:val="000000"/>
                <w:sz w:val="22"/>
              </w:rPr>
            </w:pPr>
          </w:p>
        </w:tc>
        <w:tc>
          <w:tcPr>
            <w:tcW w:w="2457" w:type="pct"/>
            <w:vAlign w:val="center"/>
          </w:tcPr>
          <w:p>
            <w:pPr>
              <w:jc w:val="center"/>
              <w:rPr>
                <w:color w:val="000000"/>
                <w:sz w:val="22"/>
              </w:rPr>
            </w:pPr>
            <w:r>
              <w:rPr>
                <w:rFonts w:hint="eastAsia"/>
                <w:color w:val="000000"/>
                <w:sz w:val="22"/>
              </w:rPr>
              <w:t>游客、</w:t>
            </w:r>
            <w:r>
              <w:rPr>
                <w:color w:val="000000"/>
                <w:sz w:val="22"/>
              </w:rPr>
              <w:t>国旗护卫队满意度</w:t>
            </w:r>
          </w:p>
        </w:tc>
        <w:tc>
          <w:tcPr>
            <w:tcW w:w="384" w:type="pct"/>
            <w:noWrap/>
            <w:vAlign w:val="center"/>
          </w:tcPr>
          <w:p>
            <w:pPr>
              <w:jc w:val="center"/>
              <w:rPr>
                <w:color w:val="000000"/>
                <w:sz w:val="22"/>
              </w:rPr>
            </w:pPr>
            <w:r>
              <w:rPr>
                <w:color w:val="000000"/>
                <w:sz w:val="22"/>
              </w:rPr>
              <w:t>1</w:t>
            </w:r>
            <w:r>
              <w:rPr>
                <w:rFonts w:hint="eastAsia"/>
                <w:color w:val="000000"/>
                <w:sz w:val="22"/>
              </w:rPr>
              <w:t>0</w:t>
            </w:r>
          </w:p>
        </w:tc>
        <w:tc>
          <w:tcPr>
            <w:tcW w:w="516" w:type="pct"/>
            <w:vAlign w:val="center"/>
          </w:tcPr>
          <w:p>
            <w:pPr>
              <w:jc w:val="center"/>
              <w:rPr>
                <w:color w:val="000000"/>
                <w:sz w:val="22"/>
              </w:rPr>
            </w:pPr>
            <w:r>
              <w:rPr>
                <w:rFonts w:hint="eastAsia"/>
                <w:color w:val="000000"/>
                <w:sz w:val="22"/>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100" w:type="pct"/>
            <w:gridSpan w:val="3"/>
            <w:vAlign w:val="center"/>
          </w:tcPr>
          <w:p>
            <w:pPr>
              <w:jc w:val="center"/>
              <w:rPr>
                <w:color w:val="000000"/>
                <w:sz w:val="22"/>
              </w:rPr>
            </w:pPr>
            <w:r>
              <w:rPr>
                <w:color w:val="000000"/>
                <w:sz w:val="22"/>
              </w:rPr>
              <w:t>小计</w:t>
            </w:r>
          </w:p>
        </w:tc>
        <w:tc>
          <w:tcPr>
            <w:tcW w:w="384" w:type="pct"/>
            <w:noWrap/>
            <w:vAlign w:val="center"/>
          </w:tcPr>
          <w:p>
            <w:pPr>
              <w:jc w:val="center"/>
              <w:rPr>
                <w:color w:val="000000"/>
                <w:sz w:val="22"/>
              </w:rPr>
            </w:pPr>
            <w:r>
              <w:rPr>
                <w:color w:val="000000"/>
                <w:sz w:val="22"/>
              </w:rPr>
              <w:t>30</w:t>
            </w:r>
          </w:p>
        </w:tc>
        <w:tc>
          <w:tcPr>
            <w:tcW w:w="516" w:type="pct"/>
            <w:vAlign w:val="center"/>
          </w:tcPr>
          <w:p>
            <w:pPr>
              <w:jc w:val="center"/>
              <w:rPr>
                <w:color w:val="000000"/>
                <w:sz w:val="22"/>
              </w:rPr>
            </w:pPr>
            <w:r>
              <w:rPr>
                <w:rFonts w:hint="eastAsia"/>
                <w:color w:val="000000"/>
                <w:sz w:val="22"/>
              </w:rPr>
              <w:t>26.75</w:t>
            </w:r>
          </w:p>
        </w:tc>
      </w:tr>
    </w:tbl>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1.实施效益</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通过设置移动卫生间，使天安门地区公共卫生间供给不足、游客及国旗护卫队如厕难、等候时间长等问题得到了一定程度的解决，增强了游客游览观光体验，提高了游客出行幸福感，有效提升了天安门地区公共服务水平。但新冠疫情“乙类乙管”后地区客流逐步增加，目前广场东西侧路6座移动卫生间仍无法满足升旗时段、长假期间大客流如厕需求，游客如厕难问题有待进一步解决。评价认为，项目实施效益整体较好，但面对适应新形势、新要求仍存在进一步提升空间。</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2.满意度</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经在天安门地区管委会门户网站上开展“天安门地区环境卫生满意度”问卷调查，游客对移动卫生间满意度为85%，国旗护卫队官兵满意度为90%，均完成年初绩效目标设定指标。评价认为，该项目未单独开展针对移动卫生间的满意度调查，无法充分了解移动卫生间使用者的其他意见及诉求。</w:t>
      </w:r>
    </w:p>
    <w:p>
      <w:pPr>
        <w:adjustRightInd w:val="0"/>
        <w:snapToGrid w:val="0"/>
        <w:spacing w:line="600" w:lineRule="exact"/>
        <w:ind w:firstLine="640" w:firstLineChars="200"/>
        <w:outlineLvl w:val="0"/>
        <w:rPr>
          <w:rFonts w:eastAsia="黑体"/>
          <w:kern w:val="0"/>
          <w:sz w:val="32"/>
          <w:szCs w:val="32"/>
        </w:rPr>
      </w:pPr>
      <w:bookmarkStart w:id="114" w:name="_Toc29688"/>
      <w:bookmarkStart w:id="115" w:name="_Toc3238"/>
      <w:bookmarkStart w:id="116" w:name="_Toc1780787296"/>
      <w:bookmarkStart w:id="117" w:name="_Toc10648"/>
      <w:bookmarkStart w:id="118" w:name="_Toc30401"/>
      <w:bookmarkStart w:id="119" w:name="_Toc28581"/>
      <w:bookmarkStart w:id="120" w:name="_Toc8762"/>
      <w:bookmarkStart w:id="121" w:name="_Toc212495633"/>
      <w:bookmarkStart w:id="122" w:name="_Toc31998"/>
      <w:bookmarkStart w:id="123" w:name="_Toc2472"/>
      <w:bookmarkStart w:id="124" w:name="_Toc12899"/>
      <w:r>
        <w:rPr>
          <w:rFonts w:eastAsia="黑体"/>
          <w:kern w:val="0"/>
          <w:sz w:val="32"/>
          <w:szCs w:val="32"/>
        </w:rPr>
        <w:t>五、存在问题及原因分析</w:t>
      </w:r>
      <w:bookmarkEnd w:id="114"/>
      <w:bookmarkEnd w:id="115"/>
      <w:bookmarkEnd w:id="116"/>
      <w:bookmarkEnd w:id="117"/>
      <w:bookmarkEnd w:id="118"/>
      <w:bookmarkEnd w:id="119"/>
      <w:bookmarkEnd w:id="120"/>
    </w:p>
    <w:bookmarkEnd w:id="121"/>
    <w:bookmarkEnd w:id="122"/>
    <w:bookmarkEnd w:id="123"/>
    <w:bookmarkEnd w:id="124"/>
    <w:p>
      <w:pPr>
        <w:adjustRightInd w:val="0"/>
        <w:snapToGrid w:val="0"/>
        <w:spacing w:line="600" w:lineRule="exact"/>
        <w:ind w:firstLine="640" w:firstLineChars="200"/>
        <w:outlineLvl w:val="1"/>
        <w:rPr>
          <w:rFonts w:eastAsia="楷体_GB2312"/>
          <w:sz w:val="32"/>
          <w:szCs w:val="32"/>
        </w:rPr>
      </w:pPr>
      <w:bookmarkStart w:id="125" w:name="_Toc7893"/>
      <w:bookmarkStart w:id="126" w:name="_Toc18555"/>
      <w:bookmarkStart w:id="127" w:name="_Toc1096674552"/>
      <w:bookmarkStart w:id="128" w:name="_Toc25188"/>
      <w:bookmarkStart w:id="129" w:name="_Toc20926"/>
      <w:bookmarkStart w:id="130" w:name="_Toc8747"/>
      <w:bookmarkStart w:id="131" w:name="_Toc8366"/>
      <w:bookmarkStart w:id="132" w:name="_Toc3621"/>
      <w:bookmarkStart w:id="133" w:name="_Toc18396"/>
      <w:bookmarkStart w:id="134" w:name="_Toc5371"/>
      <w:r>
        <w:rPr>
          <w:rFonts w:eastAsia="楷体_GB2312"/>
          <w:sz w:val="32"/>
          <w:szCs w:val="32"/>
        </w:rPr>
        <w:t>（一）绩效目标和指标设置</w:t>
      </w:r>
      <w:r>
        <w:rPr>
          <w:rFonts w:hint="eastAsia" w:eastAsia="楷体_GB2312"/>
          <w:sz w:val="32"/>
          <w:szCs w:val="32"/>
        </w:rPr>
        <w:t>科学</w:t>
      </w:r>
      <w:r>
        <w:rPr>
          <w:rFonts w:eastAsia="楷体_GB2312"/>
          <w:sz w:val="32"/>
          <w:szCs w:val="32"/>
        </w:rPr>
        <w:t>性不足</w:t>
      </w:r>
      <w:bookmarkEnd w:id="125"/>
      <w:bookmarkEnd w:id="126"/>
      <w:r>
        <w:rPr>
          <w:rFonts w:hint="eastAsia" w:eastAsia="楷体_GB2312"/>
          <w:sz w:val="32"/>
          <w:szCs w:val="32"/>
        </w:rPr>
        <w:t>，预算绩效管理意识有待进一步增强</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该项目2022年绩效指标设置科学性有待加强，部分指标考核内容不够明确，经济成本指标将预算金额设置为成本额度上限，属于无压力指标，不利于成本控制。</w:t>
      </w:r>
    </w:p>
    <w:p>
      <w:pPr>
        <w:adjustRightInd w:val="0"/>
        <w:snapToGrid w:val="0"/>
        <w:spacing w:line="600" w:lineRule="exact"/>
        <w:ind w:firstLine="640" w:firstLineChars="200"/>
        <w:outlineLvl w:val="1"/>
        <w:rPr>
          <w:rFonts w:ascii="楷体" w:hAnsi="楷体" w:eastAsia="楷体"/>
          <w:sz w:val="32"/>
          <w:szCs w:val="32"/>
        </w:rPr>
      </w:pPr>
      <w:bookmarkStart w:id="135" w:name="_Toc17912"/>
      <w:r>
        <w:rPr>
          <w:rFonts w:hint="eastAsia" w:ascii="楷体" w:hAnsi="楷体" w:eastAsia="楷体"/>
          <w:sz w:val="32"/>
          <w:szCs w:val="32"/>
        </w:rPr>
        <w:t>（二）管理制度不够健全，项目管理水平有待进一步</w:t>
      </w:r>
      <w:bookmarkEnd w:id="135"/>
      <w:r>
        <w:rPr>
          <w:rFonts w:hint="eastAsia" w:ascii="楷体" w:hAnsi="楷体" w:eastAsia="楷体"/>
          <w:sz w:val="32"/>
          <w:szCs w:val="32"/>
        </w:rPr>
        <w:t>提高</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因2022年服务中心处于整合阶段，原有制度作废，新制度仍在建立过程中，2022年项目执行参照天安门地区管委会本级制度规范，项目实施单位的财务管理办法、业务管理制度、内部控制制度不够完整，制度不够健全，不能有效指导项目实施，项目管理水平有待进一步提升。</w:t>
      </w:r>
    </w:p>
    <w:p>
      <w:pPr>
        <w:pStyle w:val="2"/>
        <w:spacing w:line="600" w:lineRule="exact"/>
        <w:ind w:left="0" w:leftChars="0" w:firstLine="640" w:firstLineChars="200"/>
        <w:rPr>
          <w:rFonts w:ascii="楷体" w:hAnsi="楷体" w:eastAsia="楷体"/>
          <w:sz w:val="32"/>
          <w:szCs w:val="32"/>
        </w:rPr>
      </w:pPr>
      <w:r>
        <w:rPr>
          <w:rFonts w:hint="eastAsia" w:ascii="楷体" w:hAnsi="楷体" w:eastAsia="楷体"/>
          <w:sz w:val="32"/>
          <w:szCs w:val="32"/>
        </w:rPr>
        <w:t>（三）满意度调查开展不够充分，项目实施效益有待进一步提升</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该项目未开展专门针对移动卫生间有关情况的满意度调查，无法全面掌握受益对象的满意度情况，不利于项目效益的持续改进。随着对新冠疫情实施“乙类乙管”，天安门地区客流量逐渐增加，如厕难问题一定程度上仍然存在，游客对移动卫生间的数量需求加大，项目实施效益存在进一步提升空间。</w:t>
      </w:r>
    </w:p>
    <w:p>
      <w:pPr>
        <w:adjustRightInd w:val="0"/>
        <w:snapToGrid w:val="0"/>
        <w:spacing w:line="600" w:lineRule="exact"/>
        <w:ind w:firstLine="640" w:firstLineChars="200"/>
        <w:outlineLvl w:val="0"/>
        <w:rPr>
          <w:rFonts w:eastAsia="黑体"/>
          <w:sz w:val="32"/>
          <w:szCs w:val="32"/>
        </w:rPr>
      </w:pPr>
      <w:bookmarkStart w:id="136" w:name="_Toc27850"/>
      <w:r>
        <w:rPr>
          <w:rFonts w:eastAsia="黑体"/>
          <w:sz w:val="32"/>
          <w:szCs w:val="32"/>
        </w:rPr>
        <w:t>六、有关建议</w:t>
      </w:r>
      <w:bookmarkEnd w:id="127"/>
      <w:bookmarkEnd w:id="128"/>
      <w:bookmarkEnd w:id="129"/>
      <w:bookmarkEnd w:id="130"/>
      <w:bookmarkEnd w:id="131"/>
      <w:bookmarkEnd w:id="132"/>
      <w:bookmarkEnd w:id="133"/>
      <w:bookmarkEnd w:id="134"/>
      <w:bookmarkEnd w:id="136"/>
    </w:p>
    <w:p>
      <w:pPr>
        <w:adjustRightInd w:val="0"/>
        <w:snapToGrid w:val="0"/>
        <w:spacing w:line="600" w:lineRule="exact"/>
        <w:ind w:firstLine="640" w:firstLineChars="200"/>
        <w:outlineLvl w:val="1"/>
        <w:rPr>
          <w:rFonts w:eastAsia="楷体_GB2312"/>
          <w:sz w:val="32"/>
          <w:szCs w:val="32"/>
        </w:rPr>
      </w:pPr>
      <w:bookmarkStart w:id="137" w:name="_Toc15281"/>
      <w:bookmarkStart w:id="138" w:name="_Toc15069"/>
      <w:bookmarkStart w:id="139" w:name="_Toc4929"/>
      <w:r>
        <w:rPr>
          <w:rFonts w:eastAsia="楷体_GB2312"/>
          <w:sz w:val="32"/>
          <w:szCs w:val="32"/>
        </w:rPr>
        <w:t>（一）</w:t>
      </w:r>
      <w:bookmarkEnd w:id="137"/>
      <w:bookmarkEnd w:id="138"/>
      <w:r>
        <w:rPr>
          <w:rFonts w:eastAsia="楷体_GB2312"/>
          <w:sz w:val="32"/>
          <w:szCs w:val="32"/>
        </w:rPr>
        <w:t>强化绩效管理理念，</w:t>
      </w:r>
      <w:r>
        <w:rPr>
          <w:rFonts w:hint="eastAsia" w:eastAsia="楷体_GB2312"/>
          <w:sz w:val="32"/>
          <w:szCs w:val="32"/>
        </w:rPr>
        <w:t>完善</w:t>
      </w:r>
      <w:r>
        <w:rPr>
          <w:rFonts w:eastAsia="楷体_GB2312"/>
          <w:sz w:val="32"/>
          <w:szCs w:val="32"/>
        </w:rPr>
        <w:t>绩效目标设置</w:t>
      </w:r>
      <w:bookmarkEnd w:id="139"/>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深入学习财政部关于印发《项目支出绩效评价管理办法》的通知（财预〔2020〕10号）、《北京市预算绩效目标管理办法》（京财绩效〔2020〕2137号）等文件，强化部门预算绩效管理意识，提升绩效目标、绩效指标的设置质量。同时持续加强绩效目标内部审核工作，提高绩效目标科学性、绩效指标准确性和可衡量性，为下一年度工作提供明确的目标指引。</w:t>
      </w:r>
    </w:p>
    <w:p>
      <w:pPr>
        <w:adjustRightInd w:val="0"/>
        <w:snapToGrid w:val="0"/>
        <w:spacing w:line="600" w:lineRule="exact"/>
        <w:ind w:firstLine="640" w:firstLineChars="200"/>
        <w:outlineLvl w:val="1"/>
        <w:rPr>
          <w:rFonts w:ascii="楷体" w:hAnsi="楷体" w:eastAsia="楷体"/>
          <w:sz w:val="32"/>
          <w:szCs w:val="32"/>
        </w:rPr>
      </w:pPr>
      <w:bookmarkStart w:id="140" w:name="_Toc21099"/>
      <w:bookmarkStart w:id="141" w:name="_Toc22576"/>
      <w:bookmarkStart w:id="142" w:name="_Toc21432"/>
      <w:r>
        <w:rPr>
          <w:rFonts w:hint="eastAsia" w:ascii="楷体" w:hAnsi="楷体" w:eastAsia="楷体"/>
          <w:sz w:val="32"/>
          <w:szCs w:val="32"/>
        </w:rPr>
        <w:t>（二）健全项目管理制度，进一步加强过程管控</w:t>
      </w:r>
      <w:bookmarkEnd w:id="140"/>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项目管理制度方面，建议结合整合后的单位职能和责任分工，加快制度建设进程，完善制度体系，加强项目精细化管理，确保项目实施进度和效益的发挥。进一步加强项目过程管控，提升制度执行的有效性。</w:t>
      </w:r>
    </w:p>
    <w:p>
      <w:pPr>
        <w:adjustRightInd w:val="0"/>
        <w:snapToGrid w:val="0"/>
        <w:spacing w:line="600" w:lineRule="exact"/>
        <w:ind w:firstLine="640" w:firstLineChars="200"/>
        <w:outlineLvl w:val="1"/>
        <w:rPr>
          <w:rFonts w:ascii="楷体" w:hAnsi="楷体" w:eastAsia="楷体"/>
          <w:sz w:val="32"/>
          <w:szCs w:val="32"/>
        </w:rPr>
      </w:pPr>
      <w:r>
        <w:rPr>
          <w:rFonts w:hint="eastAsia" w:ascii="楷体" w:hAnsi="楷体" w:eastAsia="楷体"/>
          <w:sz w:val="32"/>
          <w:szCs w:val="32"/>
        </w:rPr>
        <w:t>（三）深入开展调查研究，全面提升项目实施效益</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建议广泛开展调研，深入了解地区移动卫生间增设数量、点位等需求，提升项目实施效益。开展针对移动卫生间的满意度调查，从移动卫生间的数量、开放时长、环境卫生等方面深入了解使用者的需求及评价，为下年度工作提供指导。</w:t>
      </w:r>
    </w:p>
    <w:p>
      <w:pPr>
        <w:adjustRightInd w:val="0"/>
        <w:snapToGrid w:val="0"/>
        <w:spacing w:line="600" w:lineRule="exact"/>
        <w:ind w:firstLine="640" w:firstLineChars="200"/>
        <w:rPr>
          <w:rFonts w:ascii="仿宋_GB2312" w:hAnsi="方正仿宋_GBK" w:eastAsia="仿宋_GB2312" w:cs="方正仿宋_GBK"/>
          <w:bCs/>
          <w:sz w:val="32"/>
          <w:szCs w:val="32"/>
        </w:rPr>
      </w:pPr>
    </w:p>
    <w:p>
      <w:pPr>
        <w:adjustRightInd w:val="0"/>
        <w:snapToGrid w:val="0"/>
        <w:spacing w:line="600" w:lineRule="exact"/>
        <w:ind w:firstLine="640" w:firstLineChars="200"/>
        <w:rPr>
          <w:rFonts w:ascii="仿宋_GB2312" w:hAnsi="方正仿宋_GBK" w:eastAsia="仿宋_GB2312" w:cs="方正仿宋_GBK"/>
          <w:bCs/>
          <w:sz w:val="32"/>
          <w:szCs w:val="32"/>
        </w:rPr>
      </w:pPr>
      <w:r>
        <w:rPr>
          <w:rFonts w:ascii="仿宋_GB2312" w:hAnsi="方正仿宋_GBK" w:eastAsia="仿宋_GB2312" w:cs="方正仿宋_GBK"/>
          <w:bCs/>
          <w:sz w:val="32"/>
          <w:szCs w:val="32"/>
        </w:rPr>
        <w:t>附件</w:t>
      </w:r>
      <w:bookmarkEnd w:id="141"/>
      <w:bookmarkEnd w:id="142"/>
      <w:r>
        <w:rPr>
          <w:rFonts w:ascii="仿宋_GB2312" w:hAnsi="方正仿宋_GBK" w:eastAsia="仿宋_GB2312" w:cs="方正仿宋_GBK"/>
          <w:bCs/>
          <w:sz w:val="32"/>
          <w:szCs w:val="32"/>
        </w:rPr>
        <w:t>：</w:t>
      </w:r>
      <w:r>
        <w:rPr>
          <w:rFonts w:hint="eastAsia" w:ascii="仿宋_GB2312" w:hAnsi="方正仿宋_GBK" w:eastAsia="仿宋_GB2312" w:cs="方正仿宋_GBK"/>
          <w:bCs/>
          <w:sz w:val="32"/>
          <w:szCs w:val="32"/>
        </w:rPr>
        <w:t>2022年天安门广场东西侧路及国旗护卫队移动</w:t>
      </w:r>
    </w:p>
    <w:p>
      <w:pPr>
        <w:adjustRightInd w:val="0"/>
        <w:snapToGrid w:val="0"/>
        <w:spacing w:line="60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 xml:space="preserve">      卫生间服务项目支出绩效评价指标体系及评分表</w:t>
      </w:r>
    </w:p>
    <w:p>
      <w:pPr>
        <w:tabs>
          <w:tab w:val="left" w:pos="6720"/>
        </w:tabs>
        <w:rPr>
          <w:rFonts w:eastAsia="仿宋_GB2312"/>
          <w:sz w:val="32"/>
          <w:szCs w:val="32"/>
        </w:rPr>
        <w:sectPr>
          <w:footerReference r:id="rId3" w:type="default"/>
          <w:pgSz w:w="11906" w:h="16838"/>
          <w:pgMar w:top="2098" w:right="1474" w:bottom="1985" w:left="1587" w:header="851" w:footer="992" w:gutter="0"/>
          <w:pgNumType w:fmt="numberInDash" w:start="1"/>
          <w:cols w:space="720" w:num="1"/>
          <w:docGrid w:type="lines" w:linePitch="315" w:charSpace="0"/>
        </w:sectPr>
      </w:pPr>
    </w:p>
    <w:p>
      <w:pPr>
        <w:pStyle w:val="3"/>
        <w:spacing w:before="0" w:after="0" w:line="600" w:lineRule="exact"/>
        <w:rPr>
          <w:rFonts w:ascii="黑体" w:hAnsi="黑体" w:eastAsia="黑体" w:cs="黑体"/>
          <w:b w:val="0"/>
          <w:bCs w:val="0"/>
          <w:sz w:val="32"/>
          <w:szCs w:val="32"/>
        </w:rPr>
      </w:pPr>
      <w:bookmarkStart w:id="143" w:name="_Toc138"/>
      <w:r>
        <w:rPr>
          <w:rFonts w:hint="eastAsia" w:ascii="黑体" w:hAnsi="黑体" w:eastAsia="黑体" w:cs="黑体"/>
          <w:b w:val="0"/>
          <w:bCs w:val="0"/>
          <w:sz w:val="32"/>
          <w:szCs w:val="32"/>
        </w:rPr>
        <w:t>附件</w:t>
      </w:r>
      <w:bookmarkEnd w:id="143"/>
    </w:p>
    <w:p>
      <w:pPr>
        <w:adjustRightInd w:val="0"/>
        <w:snapToGrid w:val="0"/>
        <w:spacing w:afterLines="50" w:line="600" w:lineRule="exact"/>
        <w:jc w:val="center"/>
        <w:outlineLvl w:val="0"/>
        <w:rPr>
          <w:rFonts w:eastAsia="方正小标宋简体"/>
          <w:sz w:val="36"/>
          <w:szCs w:val="36"/>
        </w:rPr>
      </w:pPr>
      <w:r>
        <w:rPr>
          <w:rFonts w:hint="eastAsia" w:eastAsia="方正小标宋简体"/>
          <w:sz w:val="36"/>
          <w:szCs w:val="36"/>
        </w:rPr>
        <w:t>2022年天安门广场东西侧路及国旗护卫队移动卫生间服务</w:t>
      </w:r>
    </w:p>
    <w:p>
      <w:pPr>
        <w:adjustRightInd w:val="0"/>
        <w:snapToGrid w:val="0"/>
        <w:spacing w:afterLines="50" w:line="600" w:lineRule="exact"/>
        <w:jc w:val="center"/>
        <w:outlineLvl w:val="0"/>
        <w:rPr>
          <w:rFonts w:eastAsia="方正小标宋简体"/>
          <w:sz w:val="36"/>
          <w:szCs w:val="36"/>
        </w:rPr>
      </w:pPr>
      <w:r>
        <w:rPr>
          <w:rFonts w:hint="eastAsia" w:eastAsia="方正小标宋简体"/>
          <w:sz w:val="36"/>
          <w:szCs w:val="36"/>
        </w:rPr>
        <w:t>项目支出绩效评价指标体系</w:t>
      </w:r>
    </w:p>
    <w:tbl>
      <w:tblPr>
        <w:tblStyle w:val="18"/>
        <w:tblW w:w="4998" w:type="pct"/>
        <w:tblInd w:w="0" w:type="dxa"/>
        <w:tblLayout w:type="autofit"/>
        <w:tblCellMar>
          <w:top w:w="0" w:type="dxa"/>
          <w:left w:w="108" w:type="dxa"/>
          <w:bottom w:w="0" w:type="dxa"/>
          <w:right w:w="108" w:type="dxa"/>
        </w:tblCellMar>
      </w:tblPr>
      <w:tblGrid>
        <w:gridCol w:w="838"/>
        <w:gridCol w:w="724"/>
        <w:gridCol w:w="789"/>
        <w:gridCol w:w="922"/>
        <w:gridCol w:w="681"/>
        <w:gridCol w:w="1774"/>
        <w:gridCol w:w="4402"/>
        <w:gridCol w:w="881"/>
        <w:gridCol w:w="1955"/>
      </w:tblGrid>
      <w:tr>
        <w:tblPrEx>
          <w:tblCellMar>
            <w:top w:w="0" w:type="dxa"/>
            <w:left w:w="108" w:type="dxa"/>
            <w:bottom w:w="0" w:type="dxa"/>
            <w:right w:w="108" w:type="dxa"/>
          </w:tblCellMar>
        </w:tblPrEx>
        <w:trPr>
          <w:trHeight w:val="312" w:hRule="atLeast"/>
          <w:tblHeader/>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一级指标</w:t>
            </w:r>
          </w:p>
        </w:tc>
        <w:tc>
          <w:tcPr>
            <w:tcW w:w="28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二级指标</w:t>
            </w:r>
          </w:p>
        </w:tc>
        <w:tc>
          <w:tcPr>
            <w:tcW w:w="30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分值</w:t>
            </w:r>
          </w:p>
        </w:tc>
        <w:tc>
          <w:tcPr>
            <w:tcW w:w="3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三级指标</w:t>
            </w:r>
          </w:p>
        </w:tc>
        <w:tc>
          <w:tcPr>
            <w:tcW w:w="26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分值</w:t>
            </w:r>
          </w:p>
        </w:tc>
        <w:tc>
          <w:tcPr>
            <w:tcW w:w="68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指标解释</w:t>
            </w:r>
          </w:p>
        </w:tc>
        <w:tc>
          <w:tcPr>
            <w:tcW w:w="170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评价要点</w:t>
            </w:r>
          </w:p>
        </w:tc>
        <w:tc>
          <w:tcPr>
            <w:tcW w:w="311"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得分</w:t>
            </w:r>
          </w:p>
        </w:tc>
        <w:tc>
          <w:tcPr>
            <w:tcW w:w="75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2"/>
                <w:rFonts w:hint="default" w:ascii="Times New Roman" w:hAnsi="Times New Roman" w:cs="Times New Roman"/>
                <w:sz w:val="21"/>
                <w:szCs w:val="21"/>
              </w:rPr>
              <w:t>扣分原因</w:t>
            </w:r>
          </w:p>
        </w:tc>
      </w:tr>
      <w:tr>
        <w:tblPrEx>
          <w:tblCellMar>
            <w:top w:w="0" w:type="dxa"/>
            <w:left w:w="108" w:type="dxa"/>
            <w:bottom w:w="0" w:type="dxa"/>
            <w:right w:w="108" w:type="dxa"/>
          </w:tblCellMar>
        </w:tblPrEx>
        <w:trPr>
          <w:trHeight w:val="2592" w:hRule="atLeast"/>
        </w:trPr>
        <w:tc>
          <w:tcPr>
            <w:tcW w:w="83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t>决策</w:t>
            </w:r>
          </w:p>
          <w:p>
            <w:pPr>
              <w:widowControl/>
              <w:jc w:val="center"/>
              <w:textAlignment w:val="center"/>
            </w:pPr>
            <w:r>
              <w:rPr>
                <w:rFonts w:hint="eastAsia"/>
              </w:rPr>
              <w:t>（10分）</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textAlignment w:val="cente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项目立项</w:t>
            </w: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3</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立项依据充分性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项目立项是否符合法律法规、相关政策、发展规划以及部门职责，用以反映和考核项目立项依据情况。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0.5</w:t>
            </w:r>
            <w:r>
              <w:rPr>
                <w:rStyle w:val="42"/>
                <w:rFonts w:hint="default" w:ascii="Times New Roman" w:hAnsi="Times New Roman" w:cs="Times New Roman"/>
                <w:sz w:val="21"/>
                <w:szCs w:val="21"/>
              </w:rPr>
              <w:t>分，符合得</w:t>
            </w:r>
            <w:r>
              <w:rPr>
                <w:b/>
                <w:bCs/>
                <w:color w:val="000000"/>
                <w:kern w:val="0"/>
                <w:szCs w:val="21"/>
              </w:rPr>
              <w:t>0.4</w:t>
            </w:r>
            <w:r>
              <w:rPr>
                <w:rStyle w:val="42"/>
                <w:rFonts w:hint="default" w:ascii="Times New Roman" w:hAnsi="Times New Roman" w:cs="Times New Roman"/>
                <w:sz w:val="21"/>
                <w:szCs w:val="21"/>
              </w:rPr>
              <w:t>（含）</w:t>
            </w:r>
            <w:r>
              <w:rPr>
                <w:b/>
                <w:bCs/>
                <w:color w:val="000000"/>
                <w:kern w:val="0"/>
                <w:szCs w:val="21"/>
              </w:rPr>
              <w:t>-0.5</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0.3</w:t>
            </w:r>
            <w:r>
              <w:rPr>
                <w:rStyle w:val="42"/>
                <w:rFonts w:hint="default" w:ascii="Times New Roman" w:hAnsi="Times New Roman" w:cs="Times New Roman"/>
                <w:sz w:val="21"/>
                <w:szCs w:val="21"/>
              </w:rPr>
              <w:t>（含）</w:t>
            </w:r>
            <w:r>
              <w:rPr>
                <w:b/>
                <w:bCs/>
                <w:color w:val="000000"/>
                <w:kern w:val="0"/>
                <w:szCs w:val="21"/>
              </w:rPr>
              <w:t>-0.4</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0-0.3</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本指标得分为以下四项得分加总：</w:t>
            </w:r>
            <w:r>
              <w:rPr>
                <w:color w:val="000000"/>
                <w:kern w:val="0"/>
                <w:szCs w:val="21"/>
              </w:rPr>
              <w:br w:type="textWrapping"/>
            </w:r>
            <w:r>
              <w:rPr>
                <w:rStyle w:val="43"/>
                <w:rFonts w:hint="default" w:ascii="Times New Roman" w:hAnsi="Times New Roman" w:cs="Times New Roman"/>
                <w:sz w:val="21"/>
                <w:szCs w:val="21"/>
              </w:rPr>
              <w:t>①项目立项是否符合国家法律法规、国民经济发展规划和相关政策；</w:t>
            </w:r>
            <w:r>
              <w:rPr>
                <w:color w:val="000000"/>
                <w:kern w:val="0"/>
                <w:szCs w:val="21"/>
              </w:rPr>
              <w:br w:type="textWrapping"/>
            </w:r>
            <w:r>
              <w:rPr>
                <w:rStyle w:val="43"/>
                <w:rFonts w:hint="default" w:ascii="Times New Roman" w:hAnsi="Times New Roman" w:cs="Times New Roman"/>
                <w:sz w:val="21"/>
                <w:szCs w:val="21"/>
              </w:rPr>
              <w:t>②项目立项是否符合行业发展规划和政策要求；</w:t>
            </w:r>
            <w:r>
              <w:rPr>
                <w:color w:val="000000"/>
                <w:kern w:val="0"/>
                <w:szCs w:val="21"/>
              </w:rPr>
              <w:br w:type="textWrapping"/>
            </w:r>
            <w:r>
              <w:rPr>
                <w:rStyle w:val="43"/>
                <w:rFonts w:hint="default" w:ascii="Times New Roman" w:hAnsi="Times New Roman" w:cs="Times New Roman"/>
                <w:sz w:val="21"/>
                <w:szCs w:val="21"/>
              </w:rPr>
              <w:t>③项目立项是否与部门职责范围相符，属于部门履职所需；</w:t>
            </w:r>
            <w:r>
              <w:rPr>
                <w:color w:val="000000"/>
                <w:kern w:val="0"/>
                <w:szCs w:val="21"/>
              </w:rPr>
              <w:br w:type="textWrapping"/>
            </w:r>
            <w:r>
              <w:rPr>
                <w:rStyle w:val="43"/>
                <w:rFonts w:hint="default" w:ascii="Times New Roman" w:hAnsi="Times New Roman" w:cs="Times New Roman"/>
                <w:sz w:val="21"/>
                <w:szCs w:val="21"/>
              </w:rPr>
              <w:t>④项目是否属于公共财政支持范围，是否符合中央、地方事权支出责任划分原则</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1152"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立项程序规范性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项目申请、设立过程是否符合相关要求，用以反映和考核项目立项的规范情况。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本指标得分为以下两项得分加总：</w:t>
            </w:r>
            <w:r>
              <w:rPr>
                <w:b/>
                <w:bCs/>
                <w:color w:val="000000"/>
                <w:kern w:val="0"/>
                <w:szCs w:val="21"/>
              </w:rPr>
              <w:br w:type="textWrapping"/>
            </w:r>
            <w:r>
              <w:rPr>
                <w:color w:val="000000"/>
                <w:kern w:val="0"/>
                <w:szCs w:val="21"/>
              </w:rPr>
              <w:t>1.</w:t>
            </w:r>
            <w:r>
              <w:rPr>
                <w:rStyle w:val="43"/>
                <w:rFonts w:hint="default" w:ascii="Times New Roman" w:hAnsi="Times New Roman" w:cs="Times New Roman"/>
                <w:sz w:val="21"/>
                <w:szCs w:val="21"/>
              </w:rPr>
              <w:t>项目按照规定的程序申请设立，得</w:t>
            </w:r>
            <w:r>
              <w:rPr>
                <w:color w:val="000000"/>
                <w:kern w:val="0"/>
                <w:szCs w:val="21"/>
              </w:rPr>
              <w:t>0.5</w:t>
            </w:r>
            <w:r>
              <w:rPr>
                <w:rStyle w:val="43"/>
                <w:rFonts w:hint="default" w:ascii="Times New Roman" w:hAnsi="Times New Roman" w:cs="Times New Roman"/>
                <w:sz w:val="21"/>
                <w:szCs w:val="21"/>
              </w:rPr>
              <w:t>分；申请设立程序存在不足的，</w:t>
            </w:r>
            <w:r>
              <w:rPr>
                <w:rStyle w:val="43"/>
                <w:rFonts w:hint="default" w:cs="Times New Roman"/>
                <w:sz w:val="21"/>
                <w:szCs w:val="21"/>
              </w:rPr>
              <w:t>不得分</w:t>
            </w:r>
            <w:r>
              <w:rPr>
                <w:rStyle w:val="43"/>
                <w:rFonts w:hint="default" w:ascii="Times New Roman" w:hAnsi="Times New Roman" w:cs="Times New Roman"/>
                <w:sz w:val="21"/>
                <w:szCs w:val="21"/>
              </w:rPr>
              <w:t>；</w:t>
            </w:r>
            <w:r>
              <w:rPr>
                <w:color w:val="000000"/>
                <w:kern w:val="0"/>
                <w:szCs w:val="21"/>
              </w:rPr>
              <w:br w:type="textWrapping"/>
            </w:r>
            <w:r>
              <w:rPr>
                <w:color w:val="000000"/>
                <w:kern w:val="0"/>
                <w:szCs w:val="21"/>
              </w:rPr>
              <w:t>2.</w:t>
            </w:r>
            <w:r>
              <w:rPr>
                <w:rStyle w:val="43"/>
                <w:rFonts w:hint="default" w:ascii="Times New Roman" w:hAnsi="Times New Roman" w:cs="Times New Roman"/>
                <w:sz w:val="21"/>
                <w:szCs w:val="21"/>
              </w:rPr>
              <w:t>审批文件、材料符合相关要求，得</w:t>
            </w:r>
            <w:r>
              <w:rPr>
                <w:color w:val="000000"/>
                <w:kern w:val="0"/>
                <w:szCs w:val="21"/>
              </w:rPr>
              <w:t>0.5</w:t>
            </w:r>
            <w:r>
              <w:rPr>
                <w:rStyle w:val="43"/>
                <w:rFonts w:hint="default" w:ascii="Times New Roman" w:hAnsi="Times New Roman" w:cs="Times New Roman"/>
                <w:sz w:val="21"/>
                <w:szCs w:val="21"/>
              </w:rPr>
              <w:t>分；审批文件、材料存在不足，得</w:t>
            </w:r>
            <w:r>
              <w:rPr>
                <w:color w:val="000000"/>
                <w:kern w:val="0"/>
                <w:szCs w:val="21"/>
              </w:rPr>
              <w:t>0.3</w:t>
            </w:r>
            <w:r>
              <w:rPr>
                <w:rStyle w:val="43"/>
                <w:rFonts w:hint="default" w:ascii="Times New Roman" w:hAnsi="Times New Roman" w:cs="Times New Roman"/>
                <w:sz w:val="21"/>
                <w:szCs w:val="21"/>
              </w:rPr>
              <w:t>分；审批文件、材料不符合相关要求的，</w:t>
            </w:r>
            <w:r>
              <w:rPr>
                <w:rStyle w:val="43"/>
                <w:rFonts w:hint="default" w:cs="Times New Roman"/>
                <w:sz w:val="21"/>
                <w:szCs w:val="21"/>
              </w:rPr>
              <w:t>不得分</w:t>
            </w:r>
            <w:r>
              <w:rPr>
                <w:rStyle w:val="43"/>
                <w:rFonts w:hint="default" w:ascii="Times New Roman" w:hAnsi="Times New Roman"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rPr>
          <w:trHeight w:val="230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绩效目标</w:t>
            </w: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绩效目标合理性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项目所设定的绩效目标是否依据充分，是否符合客观实际，用以反映和考核项目绩效目标与项目实施的相符情况。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0.5</w:t>
            </w:r>
            <w:r>
              <w:rPr>
                <w:rStyle w:val="42"/>
                <w:rFonts w:hint="default" w:ascii="Times New Roman" w:hAnsi="Times New Roman" w:cs="Times New Roman"/>
                <w:sz w:val="21"/>
                <w:szCs w:val="21"/>
              </w:rPr>
              <w:t>分，符合得</w:t>
            </w:r>
            <w:r>
              <w:rPr>
                <w:b/>
                <w:bCs/>
                <w:color w:val="000000"/>
                <w:kern w:val="0"/>
                <w:szCs w:val="21"/>
              </w:rPr>
              <w:t>0.4</w:t>
            </w:r>
            <w:r>
              <w:rPr>
                <w:rStyle w:val="42"/>
                <w:rFonts w:hint="default" w:ascii="Times New Roman" w:hAnsi="Times New Roman" w:cs="Times New Roman"/>
                <w:sz w:val="21"/>
                <w:szCs w:val="21"/>
              </w:rPr>
              <w:t>（含）</w:t>
            </w:r>
            <w:r>
              <w:rPr>
                <w:b/>
                <w:bCs/>
                <w:color w:val="000000"/>
                <w:kern w:val="0"/>
                <w:szCs w:val="21"/>
              </w:rPr>
              <w:t>-0.5</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0.3</w:t>
            </w:r>
            <w:r>
              <w:rPr>
                <w:rStyle w:val="42"/>
                <w:rFonts w:hint="default" w:ascii="Times New Roman" w:hAnsi="Times New Roman" w:cs="Times New Roman"/>
                <w:sz w:val="21"/>
                <w:szCs w:val="21"/>
              </w:rPr>
              <w:t>（含）</w:t>
            </w:r>
            <w:r>
              <w:rPr>
                <w:b/>
                <w:bCs/>
                <w:color w:val="000000"/>
                <w:kern w:val="0"/>
                <w:szCs w:val="21"/>
              </w:rPr>
              <w:t>-0.4</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0-0.3</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本指标得分为以下四项得分加总：</w:t>
            </w:r>
            <w:r>
              <w:rPr>
                <w:color w:val="000000"/>
                <w:kern w:val="0"/>
                <w:szCs w:val="21"/>
              </w:rPr>
              <w:br w:type="textWrapping"/>
            </w:r>
            <w:r>
              <w:rPr>
                <w:rStyle w:val="43"/>
                <w:rFonts w:hint="default" w:ascii="Times New Roman" w:hAnsi="Times New Roman" w:cs="Times New Roman"/>
                <w:sz w:val="21"/>
                <w:szCs w:val="21"/>
              </w:rPr>
              <w:t>①项目是否有绩效目标；</w:t>
            </w:r>
            <w:r>
              <w:rPr>
                <w:color w:val="000000"/>
                <w:kern w:val="0"/>
                <w:szCs w:val="21"/>
              </w:rPr>
              <w:br w:type="textWrapping"/>
            </w:r>
            <w:r>
              <w:rPr>
                <w:rStyle w:val="43"/>
                <w:rFonts w:hint="default" w:ascii="Times New Roman" w:hAnsi="Times New Roman" w:cs="Times New Roman"/>
                <w:sz w:val="21"/>
                <w:szCs w:val="21"/>
              </w:rPr>
              <w:t>②项目绩效目标与实际工作内容是否具有相关性；</w:t>
            </w:r>
            <w:r>
              <w:rPr>
                <w:color w:val="000000"/>
                <w:kern w:val="0"/>
                <w:szCs w:val="21"/>
              </w:rPr>
              <w:br w:type="textWrapping"/>
            </w:r>
            <w:r>
              <w:rPr>
                <w:rStyle w:val="43"/>
                <w:rFonts w:hint="default" w:ascii="Times New Roman" w:hAnsi="Times New Roman" w:cs="Times New Roman"/>
                <w:sz w:val="21"/>
                <w:szCs w:val="21"/>
              </w:rPr>
              <w:t>③项目预期产出效益和效果是否符合正常的业绩水平；</w:t>
            </w:r>
            <w:r>
              <w:rPr>
                <w:color w:val="000000"/>
                <w:kern w:val="0"/>
                <w:szCs w:val="21"/>
              </w:rPr>
              <w:br w:type="textWrapping"/>
            </w:r>
            <w:r>
              <w:rPr>
                <w:rStyle w:val="43"/>
                <w:rFonts w:hint="default" w:ascii="Times New Roman" w:hAnsi="Times New Roman" w:cs="Times New Roman"/>
                <w:sz w:val="21"/>
                <w:szCs w:val="21"/>
              </w:rPr>
              <w:t>④是否与预算确定的项目投资额或资金量相匹配。</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2016"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绩效指标明确性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依据绩效目标设定的绩效指标是否清晰、细化、可衡量等，用以反映和考核项目绩效目标的明细化情况。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本指标得分为以下两项得分加总：</w:t>
            </w:r>
            <w:r>
              <w:rPr>
                <w:color w:val="000000"/>
                <w:kern w:val="0"/>
                <w:szCs w:val="21"/>
              </w:rPr>
              <w:br w:type="textWrapping"/>
            </w:r>
            <w:r>
              <w:rPr>
                <w:color w:val="000000"/>
                <w:kern w:val="0"/>
                <w:szCs w:val="21"/>
              </w:rPr>
              <w:t>1.</w:t>
            </w:r>
            <w:r>
              <w:rPr>
                <w:rStyle w:val="43"/>
                <w:rFonts w:hint="default" w:ascii="Times New Roman" w:hAnsi="Times New Roman" w:cs="Times New Roman"/>
                <w:sz w:val="21"/>
                <w:szCs w:val="21"/>
              </w:rPr>
              <w:t>将项目绩效目标细化分解为清晰、可衡量的绩效指标，得</w:t>
            </w:r>
            <w:r>
              <w:rPr>
                <w:color w:val="000000"/>
                <w:kern w:val="0"/>
                <w:szCs w:val="21"/>
              </w:rPr>
              <w:t>1</w:t>
            </w:r>
            <w:r>
              <w:rPr>
                <w:rStyle w:val="43"/>
                <w:rFonts w:hint="default" w:ascii="Times New Roman" w:hAnsi="Times New Roman" w:cs="Times New Roman"/>
                <w:sz w:val="21"/>
                <w:szCs w:val="21"/>
              </w:rPr>
              <w:t>分，绩效指标不够清晰、可衡量的，每发现</w:t>
            </w:r>
            <w:r>
              <w:rPr>
                <w:color w:val="000000"/>
                <w:kern w:val="0"/>
                <w:szCs w:val="21"/>
              </w:rPr>
              <w:t>1</w:t>
            </w:r>
            <w:r>
              <w:rPr>
                <w:rStyle w:val="43"/>
                <w:rFonts w:hint="default" w:ascii="Times New Roman" w:hAnsi="Times New Roman" w:cs="Times New Roman"/>
                <w:sz w:val="21"/>
                <w:szCs w:val="21"/>
              </w:rPr>
              <w:t>项扣</w:t>
            </w:r>
            <w:r>
              <w:rPr>
                <w:color w:val="000000"/>
                <w:kern w:val="0"/>
                <w:szCs w:val="21"/>
              </w:rPr>
              <w:t>0.5</w:t>
            </w:r>
            <w:r>
              <w:rPr>
                <w:rStyle w:val="43"/>
                <w:rFonts w:hint="default" w:ascii="Times New Roman" w:hAnsi="Times New Roman" w:cs="Times New Roman"/>
                <w:sz w:val="21"/>
                <w:szCs w:val="21"/>
              </w:rPr>
              <w:t>分，最多扣</w:t>
            </w:r>
            <w:r>
              <w:rPr>
                <w:color w:val="000000"/>
                <w:kern w:val="0"/>
                <w:szCs w:val="21"/>
              </w:rPr>
              <w:t>1</w:t>
            </w:r>
            <w:r>
              <w:rPr>
                <w:rStyle w:val="43"/>
                <w:rFonts w:hint="default" w:ascii="Times New Roman" w:hAnsi="Times New Roman" w:cs="Times New Roman"/>
                <w:sz w:val="21"/>
                <w:szCs w:val="21"/>
              </w:rPr>
              <w:t>分；</w:t>
            </w:r>
            <w:r>
              <w:rPr>
                <w:color w:val="000000"/>
                <w:kern w:val="0"/>
                <w:szCs w:val="21"/>
              </w:rPr>
              <w:br w:type="textWrapping"/>
            </w:r>
            <w:r>
              <w:rPr>
                <w:color w:val="000000"/>
                <w:kern w:val="0"/>
                <w:szCs w:val="21"/>
              </w:rPr>
              <w:t>2.</w:t>
            </w:r>
            <w:r>
              <w:rPr>
                <w:rStyle w:val="43"/>
                <w:rFonts w:hint="default" w:ascii="Times New Roman" w:hAnsi="Times New Roman" w:cs="Times New Roman"/>
                <w:sz w:val="21"/>
                <w:szCs w:val="21"/>
              </w:rPr>
              <w:t>绩效指标与项目目标任务数或计划数相对应，得</w:t>
            </w:r>
            <w:r>
              <w:rPr>
                <w:color w:val="000000"/>
                <w:kern w:val="0"/>
                <w:szCs w:val="21"/>
              </w:rPr>
              <w:t>1</w:t>
            </w:r>
            <w:r>
              <w:rPr>
                <w:rStyle w:val="43"/>
                <w:rFonts w:hint="default" w:ascii="Times New Roman" w:hAnsi="Times New Roman" w:cs="Times New Roman"/>
                <w:sz w:val="21"/>
                <w:szCs w:val="21"/>
              </w:rPr>
              <w:t>分；存在指标与目标对应性不足的情况，每发现</w:t>
            </w:r>
            <w:r>
              <w:rPr>
                <w:color w:val="000000"/>
                <w:kern w:val="0"/>
                <w:szCs w:val="21"/>
              </w:rPr>
              <w:t>1</w:t>
            </w:r>
            <w:r>
              <w:rPr>
                <w:rStyle w:val="43"/>
                <w:rFonts w:hint="default" w:ascii="Times New Roman" w:hAnsi="Times New Roman" w:cs="Times New Roman"/>
                <w:sz w:val="21"/>
                <w:szCs w:val="21"/>
              </w:rPr>
              <w:t>项扣</w:t>
            </w:r>
            <w:r>
              <w:rPr>
                <w:color w:val="000000"/>
                <w:kern w:val="0"/>
                <w:szCs w:val="21"/>
              </w:rPr>
              <w:t>0.5</w:t>
            </w:r>
            <w:r>
              <w:rPr>
                <w:rStyle w:val="43"/>
                <w:rFonts w:hint="default" w:ascii="Times New Roman" w:hAnsi="Times New Roman" w:cs="Times New Roman"/>
                <w:sz w:val="21"/>
                <w:szCs w:val="21"/>
              </w:rPr>
              <w:t>分，最多扣</w:t>
            </w:r>
            <w:r>
              <w:rPr>
                <w:color w:val="000000"/>
                <w:kern w:val="0"/>
                <w:szCs w:val="21"/>
              </w:rPr>
              <w:t>1</w:t>
            </w:r>
            <w:r>
              <w:rPr>
                <w:rStyle w:val="43"/>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Style w:val="43"/>
                <w:rFonts w:hint="default"/>
              </w:rPr>
            </w:pPr>
            <w:r>
              <w:rPr>
                <w:rStyle w:val="43"/>
                <w:rFonts w:hint="default"/>
              </w:rPr>
              <w:t>部分指标不够细化、量化，绩效指标明确性有待进一步增强。</w:t>
            </w:r>
          </w:p>
        </w:tc>
      </w:tr>
      <w:tr>
        <w:tblPrEx>
          <w:tblCellMar>
            <w:top w:w="0" w:type="dxa"/>
            <w:left w:w="108" w:type="dxa"/>
            <w:bottom w:w="0" w:type="dxa"/>
            <w:right w:w="108" w:type="dxa"/>
          </w:tblCellMar>
        </w:tblPrEx>
        <w:trPr>
          <w:trHeight w:val="2880"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资金投入</w:t>
            </w: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3</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预算编制科学性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2</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项目预算编制是否经过科学论证、有明确标准，资金额度与年度目标是否相适应，用以反映和考核项目预算编制的科学性、合理性情况。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0.5</w:t>
            </w:r>
            <w:r>
              <w:rPr>
                <w:rStyle w:val="42"/>
                <w:rFonts w:hint="default" w:ascii="Times New Roman" w:hAnsi="Times New Roman" w:cs="Times New Roman"/>
                <w:sz w:val="21"/>
                <w:szCs w:val="21"/>
              </w:rPr>
              <w:t>分，符合得</w:t>
            </w:r>
            <w:r>
              <w:rPr>
                <w:b/>
                <w:bCs/>
                <w:color w:val="000000"/>
                <w:kern w:val="0"/>
                <w:szCs w:val="21"/>
              </w:rPr>
              <w:t>0.4</w:t>
            </w:r>
            <w:r>
              <w:rPr>
                <w:rStyle w:val="42"/>
                <w:rFonts w:hint="default" w:ascii="Times New Roman" w:hAnsi="Times New Roman" w:cs="Times New Roman"/>
                <w:sz w:val="21"/>
                <w:szCs w:val="21"/>
              </w:rPr>
              <w:t>（含）</w:t>
            </w:r>
            <w:r>
              <w:rPr>
                <w:b/>
                <w:bCs/>
                <w:color w:val="000000"/>
                <w:kern w:val="0"/>
                <w:szCs w:val="21"/>
              </w:rPr>
              <w:t>-0.5</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0.3</w:t>
            </w:r>
            <w:r>
              <w:rPr>
                <w:rStyle w:val="42"/>
                <w:rFonts w:hint="default" w:ascii="Times New Roman" w:hAnsi="Times New Roman" w:cs="Times New Roman"/>
                <w:sz w:val="21"/>
                <w:szCs w:val="21"/>
              </w:rPr>
              <w:t>（含）</w:t>
            </w:r>
            <w:r>
              <w:rPr>
                <w:b/>
                <w:bCs/>
                <w:color w:val="000000"/>
                <w:kern w:val="0"/>
                <w:szCs w:val="21"/>
              </w:rPr>
              <w:t>-0.4</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0-0.3</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本指标得分为以下四项得分加总：</w:t>
            </w:r>
            <w:r>
              <w:rPr>
                <w:color w:val="000000"/>
                <w:kern w:val="0"/>
                <w:szCs w:val="21"/>
              </w:rPr>
              <w:br w:type="textWrapping"/>
            </w:r>
            <w:r>
              <w:rPr>
                <w:rStyle w:val="43"/>
                <w:rFonts w:hint="default" w:ascii="Times New Roman" w:hAnsi="Times New Roman" w:cs="Times New Roman"/>
                <w:sz w:val="21"/>
                <w:szCs w:val="21"/>
              </w:rPr>
              <w:t>①预算编制是否经过科学论证；</w:t>
            </w:r>
            <w:r>
              <w:rPr>
                <w:color w:val="000000"/>
                <w:kern w:val="0"/>
                <w:szCs w:val="21"/>
              </w:rPr>
              <w:br w:type="textWrapping"/>
            </w:r>
            <w:r>
              <w:rPr>
                <w:rStyle w:val="43"/>
                <w:rFonts w:hint="default" w:ascii="Times New Roman" w:hAnsi="Times New Roman" w:cs="Times New Roman"/>
                <w:sz w:val="21"/>
                <w:szCs w:val="21"/>
              </w:rPr>
              <w:t>②预算内容与项目内容是否匹配；</w:t>
            </w:r>
            <w:r>
              <w:rPr>
                <w:color w:val="000000"/>
                <w:kern w:val="0"/>
                <w:szCs w:val="21"/>
              </w:rPr>
              <w:br w:type="textWrapping"/>
            </w:r>
            <w:r>
              <w:rPr>
                <w:rStyle w:val="43"/>
                <w:rFonts w:hint="default" w:ascii="Times New Roman" w:hAnsi="Times New Roman" w:cs="Times New Roman"/>
                <w:sz w:val="21"/>
                <w:szCs w:val="21"/>
              </w:rPr>
              <w:t>③预算额度测算依据是否充分，是否按照标准编制；</w:t>
            </w:r>
            <w:r>
              <w:rPr>
                <w:color w:val="000000"/>
                <w:kern w:val="0"/>
                <w:szCs w:val="21"/>
              </w:rPr>
              <w:br w:type="textWrapping"/>
            </w:r>
            <w:r>
              <w:rPr>
                <w:rStyle w:val="43"/>
                <w:rFonts w:hint="default" w:ascii="Times New Roman" w:hAnsi="Times New Roman" w:cs="Times New Roman"/>
                <w:sz w:val="21"/>
                <w:szCs w:val="21"/>
              </w:rPr>
              <w:t>④预算确定的项目投资额或资金量是否与工作任务相匹配。</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Fonts w:hint="eastAsia"/>
                <w:color w:val="000000"/>
                <w:kern w:val="0"/>
                <w:szCs w:val="21"/>
              </w:rPr>
              <w:t>2</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pPr>
          </w:p>
        </w:tc>
      </w:tr>
      <w:tr>
        <w:tblPrEx>
          <w:tblCellMar>
            <w:top w:w="0" w:type="dxa"/>
            <w:left w:w="108" w:type="dxa"/>
            <w:bottom w:w="0" w:type="dxa"/>
            <w:right w:w="108" w:type="dxa"/>
          </w:tblCellMar>
        </w:tblPrEx>
        <w:trPr>
          <w:trHeight w:val="1728"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资金分配合理性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项目预算资金分配是否有测算依据，与补助单位或地方实际是否相适应，用以反映和考核项目预算资金分配的科学性、合理性情况。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0.5</w:t>
            </w:r>
            <w:r>
              <w:rPr>
                <w:rStyle w:val="42"/>
                <w:rFonts w:hint="default" w:ascii="Times New Roman" w:hAnsi="Times New Roman" w:cs="Times New Roman"/>
                <w:sz w:val="21"/>
                <w:szCs w:val="21"/>
              </w:rPr>
              <w:t>分，符合得</w:t>
            </w:r>
            <w:r>
              <w:rPr>
                <w:b/>
                <w:bCs/>
                <w:color w:val="000000"/>
                <w:kern w:val="0"/>
                <w:szCs w:val="21"/>
              </w:rPr>
              <w:t>0.4</w:t>
            </w:r>
            <w:r>
              <w:rPr>
                <w:rStyle w:val="42"/>
                <w:rFonts w:hint="default" w:ascii="Times New Roman" w:hAnsi="Times New Roman" w:cs="Times New Roman"/>
                <w:sz w:val="21"/>
                <w:szCs w:val="21"/>
              </w:rPr>
              <w:t>（含）</w:t>
            </w:r>
            <w:r>
              <w:rPr>
                <w:b/>
                <w:bCs/>
                <w:color w:val="000000"/>
                <w:kern w:val="0"/>
                <w:szCs w:val="21"/>
              </w:rPr>
              <w:t>-0.5</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0.3</w:t>
            </w:r>
            <w:r>
              <w:rPr>
                <w:rStyle w:val="42"/>
                <w:rFonts w:hint="default" w:ascii="Times New Roman" w:hAnsi="Times New Roman" w:cs="Times New Roman"/>
                <w:sz w:val="21"/>
                <w:szCs w:val="21"/>
              </w:rPr>
              <w:t>（含）</w:t>
            </w:r>
            <w:r>
              <w:rPr>
                <w:b/>
                <w:bCs/>
                <w:color w:val="000000"/>
                <w:kern w:val="0"/>
                <w:szCs w:val="21"/>
              </w:rPr>
              <w:t>-0.4</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0-0.3</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本指标得分为以下两项得分加总：</w:t>
            </w:r>
            <w:r>
              <w:rPr>
                <w:color w:val="000000"/>
                <w:kern w:val="0"/>
                <w:szCs w:val="21"/>
              </w:rPr>
              <w:br w:type="textWrapping"/>
            </w:r>
            <w:r>
              <w:rPr>
                <w:rStyle w:val="43"/>
                <w:rFonts w:hint="default" w:ascii="Times New Roman" w:hAnsi="Times New Roman" w:cs="Times New Roman"/>
                <w:sz w:val="21"/>
                <w:szCs w:val="21"/>
              </w:rPr>
              <w:t>①预算资金分配依据是否充分；</w:t>
            </w:r>
            <w:r>
              <w:rPr>
                <w:color w:val="000000"/>
                <w:kern w:val="0"/>
                <w:szCs w:val="21"/>
              </w:rPr>
              <w:br w:type="textWrapping"/>
            </w:r>
            <w:r>
              <w:rPr>
                <w:rStyle w:val="43"/>
                <w:rFonts w:hint="default" w:ascii="Times New Roman" w:hAnsi="Times New Roman" w:cs="Times New Roman"/>
                <w:sz w:val="21"/>
                <w:szCs w:val="21"/>
              </w:rPr>
              <w:t>②资金分配额度是否合理，与项目单位或地方实际是否相适应。</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rPr>
          <w:trHeight w:val="489" w:hRule="atLeast"/>
        </w:trPr>
        <w:tc>
          <w:tcPr>
            <w:tcW w:w="83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过程</w:t>
            </w:r>
            <w:r>
              <w:rPr>
                <w:color w:val="000000"/>
                <w:kern w:val="0"/>
                <w:szCs w:val="21"/>
              </w:rPr>
              <w:br w:type="textWrapping"/>
            </w:r>
            <w:r>
              <w:rPr>
                <w:rFonts w:hint="eastAsia"/>
                <w:color w:val="000000"/>
                <w:kern w:val="0"/>
                <w:szCs w:val="21"/>
              </w:rPr>
              <w:t>（</w:t>
            </w:r>
            <w:r>
              <w:rPr>
                <w:color w:val="000000"/>
                <w:kern w:val="0"/>
                <w:szCs w:val="21"/>
              </w:rPr>
              <w:t>20</w:t>
            </w:r>
            <w:r>
              <w:rPr>
                <w:rStyle w:val="43"/>
                <w:rFonts w:hint="default" w:ascii="Times New Roman" w:hAnsi="Times New Roman" w:cs="Times New Roman"/>
                <w:sz w:val="21"/>
                <w:szCs w:val="21"/>
              </w:rPr>
              <w:t>分</w:t>
            </w:r>
            <w:r>
              <w:rPr>
                <w:rFonts w:hint="eastAsia"/>
                <w:color w:val="000000"/>
                <w:kern w:val="0"/>
                <w:szCs w:val="21"/>
              </w:rPr>
              <w:t>）</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资金管理</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rPr>
                <w:color w:val="000000"/>
                <w:szCs w:val="21"/>
              </w:rPr>
            </w:pP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12</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资金到位率</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实际到位资金与预算资金的比率，用以反映和考核资金落实情况对项目实施的总体保障程度。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得分</w:t>
            </w:r>
            <w:r>
              <w:rPr>
                <w:color w:val="000000"/>
                <w:kern w:val="0"/>
                <w:szCs w:val="21"/>
              </w:rPr>
              <w:t>=</w:t>
            </w:r>
            <w:r>
              <w:rPr>
                <w:rStyle w:val="43"/>
                <w:rFonts w:hint="default" w:ascii="Times New Roman" w:hAnsi="Times New Roman" w:cs="Times New Roman"/>
                <w:sz w:val="21"/>
                <w:szCs w:val="21"/>
              </w:rPr>
              <w:t>（实际到位资金</w:t>
            </w:r>
            <w:r>
              <w:rPr>
                <w:color w:val="000000"/>
                <w:kern w:val="0"/>
                <w:szCs w:val="21"/>
              </w:rPr>
              <w:t>/</w:t>
            </w:r>
            <w:r>
              <w:rPr>
                <w:rStyle w:val="43"/>
                <w:rFonts w:hint="default" w:ascii="Times New Roman" w:hAnsi="Times New Roman" w:cs="Times New Roman"/>
                <w:sz w:val="21"/>
                <w:szCs w:val="21"/>
              </w:rPr>
              <w:t>预算资金）</w:t>
            </w:r>
            <w:r>
              <w:rPr>
                <w:color w:val="000000"/>
                <w:kern w:val="0"/>
                <w:szCs w:val="21"/>
              </w:rPr>
              <w:t>×100%*</w:t>
            </w:r>
            <w:r>
              <w:rPr>
                <w:rFonts w:hint="eastAsia"/>
                <w:color w:val="000000"/>
                <w:kern w:val="0"/>
                <w:szCs w:val="21"/>
              </w:rPr>
              <w:t>4</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预算执行率</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项目预算资金是否按照计划执行，用以反映或考核项目预算执行情况。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预算执行率</w:t>
            </w:r>
            <w:r>
              <w:rPr>
                <w:color w:val="000000"/>
                <w:kern w:val="0"/>
                <w:szCs w:val="21"/>
              </w:rPr>
              <w:t>=</w:t>
            </w:r>
            <w:r>
              <w:rPr>
                <w:rStyle w:val="43"/>
                <w:rFonts w:hint="default" w:ascii="Times New Roman" w:hAnsi="Times New Roman" w:cs="Times New Roman"/>
                <w:sz w:val="21"/>
                <w:szCs w:val="21"/>
              </w:rPr>
              <w:t>（实际支出资金</w:t>
            </w:r>
            <w:r>
              <w:rPr>
                <w:color w:val="000000"/>
                <w:kern w:val="0"/>
                <w:szCs w:val="21"/>
              </w:rPr>
              <w:t>/</w:t>
            </w:r>
            <w:r>
              <w:rPr>
                <w:rStyle w:val="43"/>
                <w:rFonts w:hint="default" w:ascii="Times New Roman" w:hAnsi="Times New Roman" w:cs="Times New Roman"/>
                <w:sz w:val="21"/>
                <w:szCs w:val="21"/>
              </w:rPr>
              <w:t>实际到位资金）</w:t>
            </w:r>
            <w:r>
              <w:rPr>
                <w:color w:val="000000"/>
                <w:kern w:val="0"/>
                <w:szCs w:val="21"/>
              </w:rPr>
              <w:t>×100%*4</w:t>
            </w:r>
            <w:r>
              <w:rPr>
                <w:rStyle w:val="43"/>
                <w:rFonts w:hint="default" w:ascii="Times New Roman" w:hAnsi="Times New Roman" w:cs="Times New Roman"/>
                <w:sz w:val="21"/>
                <w:szCs w:val="21"/>
              </w:rPr>
              <w:t>分</w:t>
            </w:r>
            <w:r>
              <w:rPr>
                <w:rStyle w:val="43"/>
                <w:rFonts w:hint="default" w:cs="Times New Roman"/>
                <w:sz w:val="21"/>
                <w:szCs w:val="21"/>
              </w:rPr>
              <w:t>，</w:t>
            </w:r>
            <w:r>
              <w:rPr>
                <w:rStyle w:val="43"/>
                <w:rFonts w:hint="default" w:ascii="Times New Roman" w:hAnsi="Times New Roman" w:cs="Times New Roman"/>
                <w:sz w:val="21"/>
                <w:szCs w:val="21"/>
              </w:rPr>
              <w:t>超预算执行的本指标扣</w:t>
            </w:r>
            <w:r>
              <w:rPr>
                <w:color w:val="000000"/>
                <w:kern w:val="0"/>
                <w:szCs w:val="21"/>
              </w:rPr>
              <w:t>2</w:t>
            </w:r>
            <w:r>
              <w:rPr>
                <w:rStyle w:val="43"/>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3.9</w:t>
            </w:r>
            <w:r>
              <w:rPr>
                <w:rFonts w:hint="eastAsia"/>
                <w:color w:val="000000"/>
                <w:kern w:val="0"/>
                <w:szCs w:val="21"/>
              </w:rPr>
              <w:t>9</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color w:val="000000"/>
                <w:kern w:val="0"/>
                <w:szCs w:val="21"/>
              </w:rPr>
              <w:t>年初预算497.18</w:t>
            </w:r>
            <w:r>
              <w:rPr>
                <w:rStyle w:val="43"/>
                <w:rFonts w:hint="default" w:ascii="Times New Roman" w:hAnsi="Times New Roman" w:cs="Times New Roman"/>
                <w:sz w:val="21"/>
                <w:szCs w:val="21"/>
              </w:rPr>
              <w:t>万元，实际执行</w:t>
            </w:r>
            <w:r>
              <w:rPr>
                <w:color w:val="000000"/>
                <w:kern w:val="0"/>
                <w:szCs w:val="21"/>
              </w:rPr>
              <w:t>495.</w:t>
            </w:r>
            <w:r>
              <w:rPr>
                <w:rFonts w:hint="eastAsia"/>
                <w:color w:val="000000"/>
                <w:kern w:val="0"/>
                <w:szCs w:val="21"/>
              </w:rPr>
              <w:t>45</w:t>
            </w:r>
            <w:r>
              <w:rPr>
                <w:rStyle w:val="43"/>
                <w:rFonts w:hint="default" w:ascii="Times New Roman" w:hAnsi="Times New Roman" w:cs="Times New Roman"/>
                <w:sz w:val="21"/>
                <w:szCs w:val="21"/>
              </w:rPr>
              <w:t>万元，预算执行率为</w:t>
            </w:r>
            <w:r>
              <w:rPr>
                <w:color w:val="000000"/>
                <w:kern w:val="0"/>
                <w:szCs w:val="21"/>
              </w:rPr>
              <w:t>99.</w:t>
            </w:r>
            <w:r>
              <w:rPr>
                <w:rFonts w:hint="eastAsia"/>
                <w:color w:val="000000"/>
                <w:kern w:val="0"/>
                <w:szCs w:val="21"/>
              </w:rPr>
              <w:t>65</w:t>
            </w:r>
            <w:r>
              <w:rPr>
                <w:color w:val="000000"/>
                <w:kern w:val="0"/>
                <w:szCs w:val="21"/>
              </w:rPr>
              <w:t>%</w:t>
            </w:r>
            <w:r>
              <w:rPr>
                <w:rStyle w:val="43"/>
                <w:rFonts w:hint="default" w:ascii="Times New Roman" w:hAnsi="Times New Roman" w:cs="Times New Roman"/>
                <w:sz w:val="21"/>
                <w:szCs w:val="21"/>
              </w:rPr>
              <w:t>。</w:t>
            </w:r>
          </w:p>
        </w:tc>
      </w:tr>
      <w:tr>
        <w:tblPrEx>
          <w:tblCellMar>
            <w:top w:w="0" w:type="dxa"/>
            <w:left w:w="108" w:type="dxa"/>
            <w:bottom w:w="0" w:type="dxa"/>
            <w:right w:w="108" w:type="dxa"/>
          </w:tblCellMar>
        </w:tblPrEx>
        <w:trPr>
          <w:trHeight w:val="230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资金使用合规性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项目资金使用是否符合相关的财务管理制度规定，用以反映和考核项目资金的规范运行情况。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1</w:t>
            </w:r>
            <w:r>
              <w:rPr>
                <w:rStyle w:val="42"/>
                <w:rFonts w:hint="default" w:ascii="Times New Roman" w:hAnsi="Times New Roman" w:cs="Times New Roman"/>
                <w:sz w:val="21"/>
                <w:szCs w:val="21"/>
              </w:rPr>
              <w:t>分，符合得</w:t>
            </w:r>
            <w:r>
              <w:rPr>
                <w:b/>
                <w:bCs/>
                <w:color w:val="000000"/>
                <w:kern w:val="0"/>
                <w:szCs w:val="21"/>
              </w:rPr>
              <w:t>0.8</w:t>
            </w:r>
            <w:r>
              <w:rPr>
                <w:rStyle w:val="42"/>
                <w:rFonts w:hint="default" w:ascii="Times New Roman" w:hAnsi="Times New Roman" w:cs="Times New Roman"/>
                <w:sz w:val="21"/>
                <w:szCs w:val="21"/>
              </w:rPr>
              <w:t>（含）</w:t>
            </w:r>
            <w:r>
              <w:rPr>
                <w:b/>
                <w:bCs/>
                <w:color w:val="000000"/>
                <w:kern w:val="0"/>
                <w:szCs w:val="21"/>
              </w:rPr>
              <w:t>-1</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0.6</w:t>
            </w:r>
            <w:r>
              <w:rPr>
                <w:rStyle w:val="42"/>
                <w:rFonts w:hint="default" w:ascii="Times New Roman" w:hAnsi="Times New Roman" w:cs="Times New Roman"/>
                <w:sz w:val="21"/>
                <w:szCs w:val="21"/>
              </w:rPr>
              <w:t>（含）</w:t>
            </w:r>
            <w:r>
              <w:rPr>
                <w:b/>
                <w:bCs/>
                <w:color w:val="000000"/>
                <w:kern w:val="0"/>
                <w:szCs w:val="21"/>
              </w:rPr>
              <w:t>-0.8</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0-0.6</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本指标得分为以下四项得分加总：</w:t>
            </w:r>
            <w:r>
              <w:rPr>
                <w:color w:val="000000"/>
                <w:kern w:val="0"/>
                <w:szCs w:val="21"/>
              </w:rPr>
              <w:br w:type="textWrapping"/>
            </w:r>
            <w:r>
              <w:rPr>
                <w:rStyle w:val="43"/>
                <w:rFonts w:hint="default" w:ascii="Times New Roman" w:hAnsi="Times New Roman" w:cs="Times New Roman"/>
                <w:sz w:val="21"/>
                <w:szCs w:val="21"/>
              </w:rPr>
              <w:t>①是否符合国家财经法规和财务管理制度以及有关专项资金管理办法的规定；</w:t>
            </w:r>
            <w:r>
              <w:rPr>
                <w:color w:val="000000"/>
                <w:kern w:val="0"/>
                <w:szCs w:val="21"/>
              </w:rPr>
              <w:br w:type="textWrapping"/>
            </w:r>
            <w:r>
              <w:rPr>
                <w:rStyle w:val="43"/>
                <w:rFonts w:hint="default" w:ascii="Times New Roman" w:hAnsi="Times New Roman" w:cs="Times New Roman"/>
                <w:sz w:val="21"/>
                <w:szCs w:val="21"/>
              </w:rPr>
              <w:t>②资金的拨付是否有完整的审批程序和手续；</w:t>
            </w:r>
            <w:r>
              <w:rPr>
                <w:color w:val="000000"/>
                <w:kern w:val="0"/>
                <w:szCs w:val="21"/>
              </w:rPr>
              <w:br w:type="textWrapping"/>
            </w:r>
            <w:r>
              <w:rPr>
                <w:rStyle w:val="43"/>
                <w:rFonts w:hint="default" w:ascii="Times New Roman" w:hAnsi="Times New Roman" w:cs="Times New Roman"/>
                <w:sz w:val="21"/>
                <w:szCs w:val="21"/>
              </w:rPr>
              <w:t>③是否符合项目预算批复或合同约定的用途；</w:t>
            </w:r>
            <w:r>
              <w:rPr>
                <w:color w:val="000000"/>
                <w:kern w:val="0"/>
                <w:szCs w:val="21"/>
              </w:rPr>
              <w:br w:type="textWrapping"/>
            </w:r>
            <w:r>
              <w:rPr>
                <w:rStyle w:val="43"/>
                <w:rFonts w:hint="default" w:ascii="Times New Roman" w:hAnsi="Times New Roman" w:cs="Times New Roman"/>
                <w:sz w:val="21"/>
                <w:szCs w:val="21"/>
              </w:rPr>
              <w:t>④是否存在截留、挤占、挪用、虚列支出等情况。</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91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组织实施</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rPr>
                <w:color w:val="000000"/>
                <w:szCs w:val="21"/>
              </w:rPr>
            </w:pP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8</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管理制度健全性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项目实施单位的财务和业务管理制度是否健全，用以反映和考核财务和业务管理制度对项目顺利实施的保障情况。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本指标得分为以下两项得分加总：</w:t>
            </w:r>
            <w:r>
              <w:rPr>
                <w:color w:val="000000"/>
                <w:kern w:val="0"/>
                <w:szCs w:val="21"/>
              </w:rPr>
              <w:br w:type="textWrapping"/>
            </w:r>
            <w:r>
              <w:rPr>
                <w:color w:val="000000"/>
                <w:kern w:val="0"/>
                <w:szCs w:val="21"/>
              </w:rPr>
              <w:t>1.</w:t>
            </w:r>
            <w:r>
              <w:rPr>
                <w:rStyle w:val="43"/>
                <w:rFonts w:hint="default" w:ascii="Times New Roman" w:hAnsi="Times New Roman" w:cs="Times New Roman"/>
                <w:sz w:val="21"/>
                <w:szCs w:val="21"/>
              </w:rPr>
              <w:t>专项财务和业务管理制度健全，得</w:t>
            </w:r>
            <w:r>
              <w:rPr>
                <w:color w:val="000000"/>
                <w:kern w:val="0"/>
                <w:szCs w:val="21"/>
              </w:rPr>
              <w:t>2</w:t>
            </w:r>
            <w:r>
              <w:rPr>
                <w:rStyle w:val="43"/>
                <w:rFonts w:hint="default" w:ascii="Times New Roman" w:hAnsi="Times New Roman" w:cs="Times New Roman"/>
                <w:sz w:val="21"/>
                <w:szCs w:val="21"/>
              </w:rPr>
              <w:t>分；相关管理制度不够健全，每发现一项扣</w:t>
            </w:r>
            <w:r>
              <w:rPr>
                <w:color w:val="000000"/>
                <w:kern w:val="0"/>
                <w:szCs w:val="21"/>
              </w:rPr>
              <w:t>1</w:t>
            </w:r>
            <w:r>
              <w:rPr>
                <w:rStyle w:val="43"/>
                <w:rFonts w:hint="default" w:ascii="Times New Roman" w:hAnsi="Times New Roman" w:cs="Times New Roman"/>
                <w:sz w:val="21"/>
                <w:szCs w:val="21"/>
              </w:rPr>
              <w:t>分，最多扣</w:t>
            </w:r>
            <w:r>
              <w:rPr>
                <w:color w:val="000000"/>
                <w:kern w:val="0"/>
                <w:szCs w:val="21"/>
              </w:rPr>
              <w:t>2</w:t>
            </w:r>
            <w:r>
              <w:rPr>
                <w:rStyle w:val="43"/>
                <w:rFonts w:hint="default" w:ascii="Times New Roman" w:hAnsi="Times New Roman" w:cs="Times New Roman"/>
                <w:sz w:val="21"/>
                <w:szCs w:val="21"/>
              </w:rPr>
              <w:t>分；</w:t>
            </w:r>
            <w:r>
              <w:rPr>
                <w:color w:val="000000"/>
                <w:kern w:val="0"/>
                <w:szCs w:val="21"/>
              </w:rPr>
              <w:br w:type="textWrapping"/>
            </w:r>
            <w:r>
              <w:rPr>
                <w:color w:val="000000"/>
                <w:kern w:val="0"/>
                <w:szCs w:val="21"/>
              </w:rPr>
              <w:t>2.</w:t>
            </w:r>
            <w:r>
              <w:rPr>
                <w:rStyle w:val="43"/>
                <w:rFonts w:hint="default" w:ascii="Times New Roman" w:hAnsi="Times New Roman" w:cs="Times New Roman"/>
                <w:sz w:val="21"/>
                <w:szCs w:val="21"/>
              </w:rPr>
              <w:t>财务和业务管理制度合法、合规、完整，得</w:t>
            </w:r>
            <w:r>
              <w:rPr>
                <w:color w:val="000000"/>
                <w:kern w:val="0"/>
                <w:szCs w:val="21"/>
              </w:rPr>
              <w:t>2</w:t>
            </w:r>
            <w:r>
              <w:rPr>
                <w:rStyle w:val="43"/>
                <w:rFonts w:hint="default" w:ascii="Times New Roman" w:hAnsi="Times New Roman" w:cs="Times New Roman"/>
                <w:sz w:val="21"/>
                <w:szCs w:val="21"/>
              </w:rPr>
              <w:t>分；相关制度内容不够完整，每发现一项扣</w:t>
            </w:r>
            <w:r>
              <w:rPr>
                <w:color w:val="000000"/>
                <w:kern w:val="0"/>
                <w:szCs w:val="21"/>
              </w:rPr>
              <w:t>1</w:t>
            </w:r>
            <w:r>
              <w:rPr>
                <w:rStyle w:val="43"/>
                <w:rFonts w:hint="default" w:ascii="Times New Roman" w:hAnsi="Times New Roman" w:cs="Times New Roman"/>
                <w:sz w:val="21"/>
                <w:szCs w:val="21"/>
              </w:rPr>
              <w:t>分，最多扣</w:t>
            </w:r>
            <w:r>
              <w:rPr>
                <w:color w:val="000000"/>
                <w:kern w:val="0"/>
                <w:szCs w:val="21"/>
              </w:rPr>
              <w:t>2</w:t>
            </w:r>
            <w:r>
              <w:rPr>
                <w:rStyle w:val="43"/>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Fonts w:hint="eastAsia"/>
                <w:color w:val="000000"/>
                <w:kern w:val="0"/>
                <w:szCs w:val="21"/>
              </w:rPr>
              <w:t>3</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color w:val="000000"/>
                <w:kern w:val="0"/>
                <w:szCs w:val="21"/>
              </w:rPr>
              <w:t>2022</w:t>
            </w:r>
            <w:r>
              <w:rPr>
                <w:rStyle w:val="43"/>
                <w:rFonts w:hint="default" w:ascii="Times New Roman" w:hAnsi="Times New Roman" w:cs="Times New Roman"/>
                <w:sz w:val="21"/>
                <w:szCs w:val="21"/>
              </w:rPr>
              <w:t>年</w:t>
            </w:r>
            <w:r>
              <w:rPr>
                <w:rStyle w:val="43"/>
                <w:rFonts w:hint="default" w:cs="Times New Roman"/>
                <w:sz w:val="21"/>
                <w:szCs w:val="21"/>
              </w:rPr>
              <w:t>服务</w:t>
            </w:r>
            <w:r>
              <w:rPr>
                <w:rStyle w:val="43"/>
                <w:rFonts w:hint="default" w:ascii="Times New Roman" w:hAnsi="Times New Roman" w:cs="Times New Roman"/>
                <w:sz w:val="21"/>
                <w:szCs w:val="21"/>
              </w:rPr>
              <w:t>中心处于整合阶段，原有制度作废。新制度建立过程中，暂时参照天安门地区管委会制度执行。</w:t>
            </w:r>
          </w:p>
        </w:tc>
      </w:tr>
      <w:tr>
        <w:trPr>
          <w:trHeight w:val="230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制度执行有效性</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项目实施是否符合相关管理规定，用以反映和考核相关管理制度的有效执行情况。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b/>
                <w:bCs/>
                <w:color w:val="000000"/>
                <w:szCs w:val="21"/>
              </w:rPr>
            </w:pPr>
            <w:r>
              <w:rPr>
                <w:rStyle w:val="42"/>
                <w:rFonts w:hint="default" w:ascii="Times New Roman" w:hAnsi="Times New Roman" w:cs="Times New Roman"/>
                <w:sz w:val="21"/>
                <w:szCs w:val="21"/>
              </w:rPr>
              <w:t>以下内容每项</w:t>
            </w:r>
            <w:r>
              <w:rPr>
                <w:b/>
                <w:bCs/>
                <w:color w:val="000000"/>
                <w:kern w:val="0"/>
                <w:szCs w:val="21"/>
              </w:rPr>
              <w:t>1</w:t>
            </w:r>
            <w:r>
              <w:rPr>
                <w:rStyle w:val="42"/>
                <w:rFonts w:hint="default" w:ascii="Times New Roman" w:hAnsi="Times New Roman" w:cs="Times New Roman"/>
                <w:sz w:val="21"/>
                <w:szCs w:val="21"/>
              </w:rPr>
              <w:t>分，符合得</w:t>
            </w:r>
            <w:r>
              <w:rPr>
                <w:b/>
                <w:bCs/>
                <w:color w:val="000000"/>
                <w:kern w:val="0"/>
                <w:szCs w:val="21"/>
              </w:rPr>
              <w:t>0.8</w:t>
            </w:r>
            <w:r>
              <w:rPr>
                <w:rStyle w:val="42"/>
                <w:rFonts w:hint="default" w:ascii="Times New Roman" w:hAnsi="Times New Roman" w:cs="Times New Roman"/>
                <w:sz w:val="21"/>
                <w:szCs w:val="21"/>
              </w:rPr>
              <w:t>（含）</w:t>
            </w:r>
            <w:r>
              <w:rPr>
                <w:b/>
                <w:bCs/>
                <w:color w:val="000000"/>
                <w:kern w:val="0"/>
                <w:szCs w:val="21"/>
              </w:rPr>
              <w:t>-1</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基本符合得</w:t>
            </w:r>
            <w:r>
              <w:rPr>
                <w:b/>
                <w:bCs/>
                <w:color w:val="000000"/>
                <w:kern w:val="0"/>
                <w:szCs w:val="21"/>
              </w:rPr>
              <w:t>0.6</w:t>
            </w:r>
            <w:r>
              <w:rPr>
                <w:rStyle w:val="42"/>
                <w:rFonts w:hint="default" w:ascii="Times New Roman" w:hAnsi="Times New Roman" w:cs="Times New Roman"/>
                <w:sz w:val="21"/>
                <w:szCs w:val="21"/>
              </w:rPr>
              <w:t>（含）</w:t>
            </w:r>
            <w:r>
              <w:rPr>
                <w:b/>
                <w:bCs/>
                <w:color w:val="000000"/>
                <w:kern w:val="0"/>
                <w:szCs w:val="21"/>
              </w:rPr>
              <w:t>-0.8</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不够符合得</w:t>
            </w:r>
            <w:r>
              <w:rPr>
                <w:b/>
                <w:bCs/>
                <w:color w:val="000000"/>
                <w:kern w:val="0"/>
                <w:szCs w:val="21"/>
              </w:rPr>
              <w:t>0-0.6</w:t>
            </w:r>
            <w:r>
              <w:rPr>
                <w:rStyle w:val="42"/>
                <w:rFonts w:hint="default" w:ascii="Times New Roman" w:hAnsi="Times New Roman" w:cs="Times New Roman"/>
                <w:sz w:val="21"/>
                <w:szCs w:val="21"/>
              </w:rPr>
              <w:t>分。</w:t>
            </w:r>
            <w:r>
              <w:rPr>
                <w:b/>
                <w:bCs/>
                <w:color w:val="000000"/>
                <w:kern w:val="0"/>
                <w:szCs w:val="21"/>
              </w:rPr>
              <w:br w:type="textWrapping"/>
            </w:r>
            <w:r>
              <w:rPr>
                <w:rStyle w:val="42"/>
                <w:rFonts w:hint="default" w:ascii="Times New Roman" w:hAnsi="Times New Roman" w:cs="Times New Roman"/>
                <w:sz w:val="21"/>
                <w:szCs w:val="21"/>
              </w:rPr>
              <w:t>本指标得分为以下四项得分加总：</w:t>
            </w:r>
            <w:r>
              <w:rPr>
                <w:color w:val="000000"/>
                <w:kern w:val="0"/>
                <w:szCs w:val="21"/>
              </w:rPr>
              <w:br w:type="textWrapping"/>
            </w:r>
            <w:r>
              <w:rPr>
                <w:color w:val="000000"/>
                <w:kern w:val="0"/>
                <w:szCs w:val="21"/>
              </w:rPr>
              <w:t>1.</w:t>
            </w:r>
            <w:r>
              <w:rPr>
                <w:rStyle w:val="43"/>
                <w:rFonts w:hint="default" w:ascii="Times New Roman" w:hAnsi="Times New Roman" w:cs="Times New Roman"/>
                <w:sz w:val="21"/>
                <w:szCs w:val="21"/>
              </w:rPr>
              <w:t>遵守相关法律法规和相关管理规定；</w:t>
            </w:r>
            <w:r>
              <w:rPr>
                <w:color w:val="000000"/>
                <w:kern w:val="0"/>
                <w:szCs w:val="21"/>
              </w:rPr>
              <w:br w:type="textWrapping"/>
            </w:r>
            <w:r>
              <w:rPr>
                <w:color w:val="000000"/>
                <w:kern w:val="0"/>
                <w:szCs w:val="21"/>
              </w:rPr>
              <w:t>2.</w:t>
            </w:r>
            <w:r>
              <w:rPr>
                <w:rStyle w:val="43"/>
                <w:rFonts w:hint="default" w:ascii="Times New Roman" w:hAnsi="Times New Roman" w:cs="Times New Roman"/>
                <w:sz w:val="21"/>
                <w:szCs w:val="21"/>
              </w:rPr>
              <w:t>项目调整及支出调整手续完备；</w:t>
            </w:r>
            <w:r>
              <w:rPr>
                <w:color w:val="000000"/>
                <w:kern w:val="0"/>
                <w:szCs w:val="21"/>
              </w:rPr>
              <w:br w:type="textWrapping"/>
            </w:r>
            <w:r>
              <w:rPr>
                <w:color w:val="000000"/>
                <w:kern w:val="0"/>
                <w:szCs w:val="21"/>
              </w:rPr>
              <w:t>3.</w:t>
            </w:r>
            <w:r>
              <w:rPr>
                <w:rStyle w:val="43"/>
                <w:rFonts w:hint="default" w:ascii="Times New Roman" w:hAnsi="Times New Roman" w:cs="Times New Roman"/>
                <w:sz w:val="21"/>
                <w:szCs w:val="21"/>
              </w:rPr>
              <w:t>项目合同书、验收报告、技术鉴定等资料齐全并及时归档；</w:t>
            </w:r>
            <w:r>
              <w:rPr>
                <w:color w:val="000000"/>
                <w:kern w:val="0"/>
                <w:szCs w:val="21"/>
              </w:rPr>
              <w:br w:type="textWrapping"/>
            </w:r>
            <w:r>
              <w:rPr>
                <w:color w:val="000000"/>
                <w:kern w:val="0"/>
                <w:szCs w:val="21"/>
              </w:rPr>
              <w:t>4.</w:t>
            </w:r>
            <w:r>
              <w:rPr>
                <w:rStyle w:val="43"/>
                <w:rFonts w:hint="default" w:ascii="Times New Roman" w:hAnsi="Times New Roman" w:cs="Times New Roman"/>
                <w:sz w:val="21"/>
                <w:szCs w:val="21"/>
              </w:rPr>
              <w:t>项目实施的人员条件、场地设备、信息支撑等落实到位。</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64" w:hRule="atLeast"/>
        </w:trPr>
        <w:tc>
          <w:tcPr>
            <w:tcW w:w="83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产出</w:t>
            </w:r>
            <w:r>
              <w:rPr>
                <w:color w:val="000000"/>
                <w:kern w:val="0"/>
                <w:szCs w:val="21"/>
              </w:rPr>
              <w:br w:type="textWrapping"/>
            </w:r>
            <w:r>
              <w:rPr>
                <w:rFonts w:hint="eastAsia"/>
                <w:color w:val="000000"/>
                <w:kern w:val="0"/>
                <w:szCs w:val="21"/>
              </w:rPr>
              <w:t>（</w:t>
            </w:r>
            <w:r>
              <w:rPr>
                <w:color w:val="000000"/>
                <w:kern w:val="0"/>
                <w:szCs w:val="21"/>
              </w:rPr>
              <w:t>40</w:t>
            </w:r>
            <w:r>
              <w:rPr>
                <w:rStyle w:val="43"/>
                <w:rFonts w:hint="default" w:ascii="Times New Roman" w:hAnsi="Times New Roman" w:cs="Times New Roman"/>
                <w:sz w:val="21"/>
                <w:szCs w:val="21"/>
              </w:rPr>
              <w:t>分</w:t>
            </w:r>
            <w:r>
              <w:rPr>
                <w:rFonts w:hint="eastAsia"/>
                <w:color w:val="000000"/>
                <w:kern w:val="0"/>
                <w:szCs w:val="21"/>
              </w:rPr>
              <w:t>）</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产出数量</w:t>
            </w: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移动卫生间放置数量</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考核移动卫生间放置数量，用以反映和考核项目产出数量目标的实现程度。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移动卫生间放置数量是否达到</w:t>
            </w:r>
            <w:r>
              <w:rPr>
                <w:color w:val="000000"/>
                <w:kern w:val="0"/>
                <w:szCs w:val="21"/>
              </w:rPr>
              <w:t>9</w:t>
            </w:r>
            <w:r>
              <w:rPr>
                <w:rStyle w:val="43"/>
                <w:rFonts w:hint="default" w:ascii="Times New Roman" w:hAnsi="Times New Roman" w:cs="Times New Roman"/>
                <w:sz w:val="21"/>
                <w:szCs w:val="21"/>
              </w:rPr>
              <w:t>座。</w:t>
            </w:r>
            <w:r>
              <w:rPr>
                <w:color w:val="000000"/>
                <w:kern w:val="0"/>
                <w:szCs w:val="21"/>
              </w:rPr>
              <w:br w:type="textWrapping"/>
            </w:r>
            <w:r>
              <w:rPr>
                <w:rStyle w:val="43"/>
                <w:rFonts w:hint="default" w:ascii="Times New Roman" w:hAnsi="Times New Roman" w:cs="Times New Roman"/>
                <w:sz w:val="21"/>
                <w:szCs w:val="21"/>
              </w:rPr>
              <w:t>得分＝移动卫生间放置实际数量</w:t>
            </w:r>
            <w:r>
              <w:rPr>
                <w:color w:val="000000"/>
                <w:kern w:val="0"/>
                <w:szCs w:val="21"/>
              </w:rPr>
              <w:t>/</w:t>
            </w:r>
            <w:r>
              <w:rPr>
                <w:rStyle w:val="43"/>
                <w:rFonts w:hint="default" w:ascii="Times New Roman" w:hAnsi="Times New Roman" w:cs="Times New Roman"/>
                <w:sz w:val="21"/>
                <w:szCs w:val="21"/>
              </w:rPr>
              <w:t>移动卫生间放置计划数量</w:t>
            </w:r>
            <w:r>
              <w:rPr>
                <w:color w:val="000000"/>
                <w:kern w:val="0"/>
                <w:szCs w:val="21"/>
              </w:rPr>
              <w:t>*100%*5</w:t>
            </w:r>
            <w:r>
              <w:rPr>
                <w:rStyle w:val="43"/>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40"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计划厕位完成数量</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考核厕位放置数量的完成情况，用以反映和考核项目产出数量目标的实现程度。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4"/>
                <w:rFonts w:hint="default" w:ascii="Times New Roman" w:hAnsi="Times New Roman" w:cs="Times New Roman"/>
                <w:sz w:val="21"/>
                <w:szCs w:val="21"/>
              </w:rPr>
              <w:t>评价要点：</w:t>
            </w:r>
            <w:r>
              <w:rPr>
                <w:color w:val="000000"/>
                <w:kern w:val="0"/>
                <w:szCs w:val="21"/>
              </w:rPr>
              <w:br w:type="textWrapping"/>
            </w:r>
            <w:r>
              <w:rPr>
                <w:rStyle w:val="44"/>
                <w:rFonts w:hint="default" w:ascii="Times New Roman" w:hAnsi="Times New Roman" w:cs="Times New Roman"/>
                <w:sz w:val="21"/>
                <w:szCs w:val="21"/>
              </w:rPr>
              <w:t>计划厕位完成</w:t>
            </w:r>
            <w:r>
              <w:rPr>
                <w:rStyle w:val="44"/>
                <w:rFonts w:hint="default" w:cs="Times New Roman"/>
                <w:sz w:val="21"/>
                <w:szCs w:val="21"/>
              </w:rPr>
              <w:t>数量</w:t>
            </w:r>
            <w:r>
              <w:rPr>
                <w:rStyle w:val="44"/>
                <w:rFonts w:hint="default" w:ascii="Times New Roman" w:hAnsi="Times New Roman" w:cs="Times New Roman"/>
                <w:sz w:val="21"/>
                <w:szCs w:val="21"/>
              </w:rPr>
              <w:t>是否达到</w:t>
            </w:r>
            <w:r>
              <w:rPr>
                <w:color w:val="000000"/>
                <w:kern w:val="0"/>
                <w:szCs w:val="21"/>
              </w:rPr>
              <w:t>50</w:t>
            </w:r>
            <w:r>
              <w:rPr>
                <w:rStyle w:val="44"/>
                <w:rFonts w:hint="default" w:ascii="Times New Roman" w:hAnsi="Times New Roman" w:cs="Times New Roman"/>
                <w:sz w:val="21"/>
                <w:szCs w:val="21"/>
              </w:rPr>
              <w:t>个。</w:t>
            </w:r>
            <w:r>
              <w:rPr>
                <w:color w:val="000000"/>
                <w:kern w:val="0"/>
                <w:szCs w:val="21"/>
              </w:rPr>
              <w:br w:type="textWrapping"/>
            </w:r>
            <w:r>
              <w:rPr>
                <w:rStyle w:val="44"/>
                <w:rFonts w:hint="default" w:ascii="Times New Roman" w:hAnsi="Times New Roman" w:cs="Times New Roman"/>
                <w:sz w:val="21"/>
                <w:szCs w:val="21"/>
              </w:rPr>
              <w:t>得分＝厕位实际数量</w:t>
            </w:r>
            <w:r>
              <w:rPr>
                <w:color w:val="000000"/>
                <w:kern w:val="0"/>
                <w:szCs w:val="21"/>
              </w:rPr>
              <w:t>/</w:t>
            </w:r>
            <w:r>
              <w:rPr>
                <w:rStyle w:val="44"/>
                <w:rFonts w:hint="default" w:ascii="Times New Roman" w:hAnsi="Times New Roman" w:cs="Times New Roman"/>
                <w:sz w:val="21"/>
                <w:szCs w:val="21"/>
              </w:rPr>
              <w:t>厕位计划数量</w:t>
            </w:r>
            <w:r>
              <w:rPr>
                <w:color w:val="000000"/>
                <w:kern w:val="0"/>
                <w:szCs w:val="21"/>
              </w:rPr>
              <w:t>*100%*5</w:t>
            </w:r>
            <w:r>
              <w:rPr>
                <w:rStyle w:val="44"/>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产出质量</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rPr>
                <w:color w:val="000000"/>
                <w:szCs w:val="21"/>
              </w:rPr>
            </w:pP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移动卫生间异味情况</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考核移动卫生间内异味情况，用以反映和考核项目产出质量目标的实现程度。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卫生间内味道情况较好，得</w:t>
            </w:r>
            <w:r>
              <w:rPr>
                <w:color w:val="000000"/>
                <w:kern w:val="0"/>
                <w:szCs w:val="21"/>
              </w:rPr>
              <w:t>4</w:t>
            </w:r>
            <w:r>
              <w:rPr>
                <w:rStyle w:val="43"/>
                <w:rFonts w:hint="default" w:ascii="Times New Roman" w:hAnsi="Times New Roman" w:cs="Times New Roman"/>
                <w:sz w:val="21"/>
                <w:szCs w:val="21"/>
              </w:rPr>
              <w:t>（含）</w:t>
            </w:r>
            <w:r>
              <w:rPr>
                <w:color w:val="000000"/>
                <w:kern w:val="0"/>
                <w:szCs w:val="21"/>
              </w:rPr>
              <w:t>-5</w:t>
            </w:r>
            <w:r>
              <w:rPr>
                <w:rStyle w:val="43"/>
                <w:rFonts w:hint="default" w:ascii="Times New Roman" w:hAnsi="Times New Roman" w:cs="Times New Roman"/>
                <w:sz w:val="21"/>
                <w:szCs w:val="21"/>
              </w:rPr>
              <w:t>分；卫生间内味道情况一般得</w:t>
            </w:r>
            <w:r>
              <w:rPr>
                <w:color w:val="000000"/>
                <w:kern w:val="0"/>
                <w:szCs w:val="21"/>
              </w:rPr>
              <w:t>3</w:t>
            </w:r>
            <w:r>
              <w:rPr>
                <w:rStyle w:val="43"/>
                <w:rFonts w:hint="default" w:ascii="Times New Roman" w:hAnsi="Times New Roman" w:cs="Times New Roman"/>
                <w:sz w:val="21"/>
                <w:szCs w:val="21"/>
              </w:rPr>
              <w:t>（含）</w:t>
            </w:r>
            <w:r>
              <w:rPr>
                <w:color w:val="000000"/>
                <w:kern w:val="0"/>
                <w:szCs w:val="21"/>
              </w:rPr>
              <w:t>-4</w:t>
            </w:r>
            <w:r>
              <w:rPr>
                <w:rStyle w:val="43"/>
                <w:rFonts w:hint="default" w:ascii="Times New Roman" w:hAnsi="Times New Roman" w:cs="Times New Roman"/>
                <w:sz w:val="21"/>
                <w:szCs w:val="21"/>
              </w:rPr>
              <w:t>分；卫生间内异味严重得</w:t>
            </w:r>
            <w:r>
              <w:rPr>
                <w:color w:val="000000"/>
                <w:kern w:val="0"/>
                <w:szCs w:val="21"/>
              </w:rPr>
              <w:t>0-3</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4</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卫生间不存在异味情况为</w:t>
            </w:r>
            <w:r>
              <w:rPr>
                <w:color w:val="000000"/>
                <w:kern w:val="0"/>
                <w:szCs w:val="21"/>
              </w:rPr>
              <w:t>98%</w:t>
            </w:r>
            <w:r>
              <w:rPr>
                <w:rStyle w:val="43"/>
                <w:rFonts w:hint="default" w:ascii="Times New Roman" w:hAnsi="Times New Roman" w:cs="Times New Roman"/>
                <w:sz w:val="21"/>
                <w:szCs w:val="21"/>
              </w:rPr>
              <w:t>，味道情况较好，但仍有提升空间。</w:t>
            </w:r>
          </w:p>
        </w:tc>
      </w:tr>
      <w:tr>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厕纸、洗手液配置充足情况</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考核移动卫生间内厕纸、洗手液配置情况，用以反映和考核项目产出质量目标的实现程度。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卫生间内厕纸、洗手液配置较充足，得</w:t>
            </w:r>
            <w:r>
              <w:rPr>
                <w:color w:val="000000"/>
                <w:kern w:val="0"/>
                <w:szCs w:val="21"/>
              </w:rPr>
              <w:t>4</w:t>
            </w:r>
            <w:r>
              <w:rPr>
                <w:rStyle w:val="43"/>
                <w:rFonts w:hint="default" w:ascii="Times New Roman" w:hAnsi="Times New Roman" w:cs="Times New Roman"/>
                <w:sz w:val="21"/>
                <w:szCs w:val="21"/>
              </w:rPr>
              <w:t>（含）</w:t>
            </w:r>
            <w:r>
              <w:rPr>
                <w:color w:val="000000"/>
                <w:kern w:val="0"/>
                <w:szCs w:val="21"/>
              </w:rPr>
              <w:t>-5</w:t>
            </w:r>
            <w:r>
              <w:rPr>
                <w:rStyle w:val="43"/>
                <w:rFonts w:hint="default" w:ascii="Times New Roman" w:hAnsi="Times New Roman" w:cs="Times New Roman"/>
                <w:sz w:val="21"/>
                <w:szCs w:val="21"/>
              </w:rPr>
              <w:t>分；卫生间内厕纸、洗手液配置一般得</w:t>
            </w:r>
            <w:r>
              <w:rPr>
                <w:color w:val="000000"/>
                <w:kern w:val="0"/>
                <w:szCs w:val="21"/>
              </w:rPr>
              <w:t>3</w:t>
            </w:r>
            <w:r>
              <w:rPr>
                <w:rStyle w:val="43"/>
                <w:rFonts w:hint="default" w:ascii="Times New Roman" w:hAnsi="Times New Roman" w:cs="Times New Roman"/>
                <w:sz w:val="21"/>
                <w:szCs w:val="21"/>
              </w:rPr>
              <w:t>（含）</w:t>
            </w:r>
            <w:r>
              <w:rPr>
                <w:color w:val="000000"/>
                <w:kern w:val="0"/>
                <w:szCs w:val="21"/>
              </w:rPr>
              <w:t>-4</w:t>
            </w:r>
            <w:r>
              <w:rPr>
                <w:rStyle w:val="43"/>
                <w:rFonts w:hint="default" w:ascii="Times New Roman" w:hAnsi="Times New Roman" w:cs="Times New Roman"/>
                <w:sz w:val="21"/>
                <w:szCs w:val="21"/>
              </w:rPr>
              <w:t>分；卫生间内厕纸、洗手液配置不足得</w:t>
            </w:r>
            <w:r>
              <w:rPr>
                <w:color w:val="000000"/>
                <w:kern w:val="0"/>
                <w:szCs w:val="21"/>
              </w:rPr>
              <w:t>0-3</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5</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tcBorders>
              <w:top w:val="single" w:color="000000" w:sz="4" w:space="0"/>
              <w:left w:val="single" w:color="000000" w:sz="4" w:space="0"/>
              <w:bottom w:val="nil"/>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产出时效</w:t>
            </w:r>
          </w:p>
        </w:tc>
        <w:tc>
          <w:tcPr>
            <w:tcW w:w="789" w:type="dxa"/>
            <w:tcBorders>
              <w:top w:val="single" w:color="000000" w:sz="4" w:space="0"/>
              <w:left w:val="single" w:color="000000" w:sz="4" w:space="0"/>
              <w:bottom w:val="nil"/>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移动卫生间按时服务情况</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移动卫生间实际开放时间与计划开放时间的比较，用以反映和考核项目产出时效目标的实现程度。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各座移动卫生间是否按照规定时间开放。</w:t>
            </w:r>
            <w:r>
              <w:rPr>
                <w:color w:val="000000"/>
                <w:kern w:val="0"/>
                <w:szCs w:val="21"/>
              </w:rPr>
              <w:br w:type="textWrapping"/>
            </w:r>
            <w:r>
              <w:rPr>
                <w:rStyle w:val="43"/>
                <w:rFonts w:hint="default" w:ascii="Times New Roman" w:hAnsi="Times New Roman" w:cs="Times New Roman"/>
                <w:sz w:val="21"/>
                <w:szCs w:val="21"/>
              </w:rPr>
              <w:t>得分</w:t>
            </w:r>
            <w:r>
              <w:rPr>
                <w:color w:val="000000"/>
                <w:kern w:val="0"/>
                <w:szCs w:val="21"/>
              </w:rPr>
              <w:t>=</w:t>
            </w:r>
            <w:r>
              <w:rPr>
                <w:rStyle w:val="43"/>
                <w:rFonts w:hint="default" w:ascii="Times New Roman" w:hAnsi="Times New Roman" w:cs="Times New Roman"/>
                <w:sz w:val="21"/>
                <w:szCs w:val="21"/>
              </w:rPr>
              <w:t>（按时开放的移动卫生间数量</w:t>
            </w:r>
            <w:r>
              <w:rPr>
                <w:color w:val="000000"/>
                <w:kern w:val="0"/>
                <w:szCs w:val="21"/>
              </w:rPr>
              <w:t>/</w:t>
            </w:r>
            <w:r>
              <w:rPr>
                <w:rStyle w:val="43"/>
                <w:rFonts w:hint="default" w:ascii="Times New Roman" w:hAnsi="Times New Roman" w:cs="Times New Roman"/>
                <w:sz w:val="21"/>
                <w:szCs w:val="21"/>
              </w:rPr>
              <w:t>全部移动卫生间数量）</w:t>
            </w:r>
            <w:r>
              <w:rPr>
                <w:color w:val="000000"/>
                <w:kern w:val="0"/>
                <w:szCs w:val="21"/>
              </w:rPr>
              <w:t>*100%*10</w:t>
            </w:r>
            <w:r>
              <w:rPr>
                <w:rStyle w:val="43"/>
                <w:rFonts w:hint="default" w:ascii="Times New Roman" w:hAnsi="Times New Roman" w:cs="Times New Roman"/>
                <w:sz w:val="21"/>
                <w:szCs w:val="21"/>
              </w:rPr>
              <w:t>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630"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产出成本</w:t>
            </w:r>
          </w:p>
        </w:tc>
        <w:tc>
          <w:tcPr>
            <w:tcW w:w="7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移动卫生间服务成本控制情况</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考核项目是否采取了具体成本控制措施，反映项目的成本控制情况。</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成本控制情况较好，得</w:t>
            </w:r>
            <w:r>
              <w:rPr>
                <w:color w:val="000000"/>
                <w:kern w:val="0"/>
                <w:szCs w:val="21"/>
              </w:rPr>
              <w:t>8</w:t>
            </w:r>
            <w:r>
              <w:rPr>
                <w:rStyle w:val="43"/>
                <w:rFonts w:hint="default" w:ascii="Times New Roman" w:hAnsi="Times New Roman" w:cs="Times New Roman"/>
                <w:sz w:val="21"/>
                <w:szCs w:val="21"/>
              </w:rPr>
              <w:t>（含）</w:t>
            </w:r>
            <w:r>
              <w:rPr>
                <w:color w:val="000000"/>
                <w:kern w:val="0"/>
                <w:szCs w:val="21"/>
              </w:rPr>
              <w:t>-10</w:t>
            </w:r>
            <w:r>
              <w:rPr>
                <w:rStyle w:val="43"/>
                <w:rFonts w:hint="default" w:ascii="Times New Roman" w:hAnsi="Times New Roman" w:cs="Times New Roman"/>
                <w:sz w:val="21"/>
                <w:szCs w:val="21"/>
              </w:rPr>
              <w:t>分；成本控制情况一般得</w:t>
            </w:r>
            <w:r>
              <w:rPr>
                <w:color w:val="000000"/>
                <w:kern w:val="0"/>
                <w:szCs w:val="21"/>
              </w:rPr>
              <w:t>6</w:t>
            </w:r>
            <w:r>
              <w:rPr>
                <w:rStyle w:val="43"/>
                <w:rFonts w:hint="default" w:ascii="Times New Roman" w:hAnsi="Times New Roman" w:cs="Times New Roman"/>
                <w:sz w:val="21"/>
                <w:szCs w:val="21"/>
              </w:rPr>
              <w:t>（含）</w:t>
            </w:r>
            <w:r>
              <w:rPr>
                <w:color w:val="000000"/>
                <w:kern w:val="0"/>
                <w:szCs w:val="21"/>
              </w:rPr>
              <w:t>-8</w:t>
            </w:r>
            <w:r>
              <w:rPr>
                <w:rStyle w:val="43"/>
                <w:rFonts w:hint="default" w:ascii="Times New Roman" w:hAnsi="Times New Roman" w:cs="Times New Roman"/>
                <w:sz w:val="21"/>
                <w:szCs w:val="21"/>
              </w:rPr>
              <w:t>分；成本控制不足得</w:t>
            </w:r>
            <w:r>
              <w:rPr>
                <w:color w:val="000000"/>
                <w:kern w:val="0"/>
                <w:szCs w:val="21"/>
              </w:rPr>
              <w:t>0-6</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8</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Style w:val="43"/>
                <w:rFonts w:hint="default"/>
              </w:rPr>
            </w:pPr>
            <w:r>
              <w:rPr>
                <w:rStyle w:val="43"/>
                <w:rFonts w:hint="default" w:ascii="Times New Roman" w:hAnsi="Times New Roman" w:cs="Times New Roman"/>
                <w:sz w:val="21"/>
                <w:szCs w:val="21"/>
              </w:rPr>
              <w:t>该项目将预算金额设置为支出上限，未制定细化且具有约束力的成本指标，成本控制仍有提升空间。</w:t>
            </w:r>
          </w:p>
        </w:tc>
      </w:tr>
      <w:tr>
        <w:tblPrEx>
          <w:tblCellMar>
            <w:top w:w="0" w:type="dxa"/>
            <w:left w:w="108" w:type="dxa"/>
            <w:bottom w:w="0" w:type="dxa"/>
            <w:right w:w="108" w:type="dxa"/>
          </w:tblCellMar>
        </w:tblPrEx>
        <w:trPr>
          <w:trHeight w:val="1152" w:hRule="atLeast"/>
        </w:trPr>
        <w:tc>
          <w:tcPr>
            <w:tcW w:w="83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r>
              <w:rPr>
                <w:rStyle w:val="43"/>
                <w:rFonts w:hint="default" w:ascii="Times New Roman" w:hAnsi="Times New Roman" w:cs="Times New Roman"/>
                <w:sz w:val="21"/>
                <w:szCs w:val="21"/>
              </w:rPr>
              <w:t>效益</w:t>
            </w:r>
            <w:r>
              <w:rPr>
                <w:color w:val="000000"/>
                <w:kern w:val="0"/>
                <w:szCs w:val="21"/>
              </w:rPr>
              <w:br w:type="textWrapping"/>
            </w:r>
            <w:r>
              <w:rPr>
                <w:rFonts w:hint="eastAsia"/>
                <w:color w:val="000000"/>
                <w:kern w:val="0"/>
                <w:szCs w:val="21"/>
              </w:rPr>
              <w:t>（</w:t>
            </w:r>
            <w:r>
              <w:rPr>
                <w:color w:val="000000"/>
                <w:kern w:val="0"/>
                <w:szCs w:val="21"/>
              </w:rPr>
              <w:t>30</w:t>
            </w:r>
            <w:r>
              <w:rPr>
                <w:rStyle w:val="43"/>
                <w:rFonts w:hint="default" w:ascii="Times New Roman" w:hAnsi="Times New Roman" w:cs="Times New Roman"/>
                <w:sz w:val="21"/>
                <w:szCs w:val="21"/>
              </w:rPr>
              <w:t>分</w:t>
            </w:r>
            <w:r>
              <w:rPr>
                <w:rFonts w:hint="eastAsia"/>
                <w:color w:val="000000"/>
                <w:kern w:val="0"/>
                <w:szCs w:val="21"/>
              </w:rPr>
              <w:t>）</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rPr>
                <w:color w:val="000000"/>
                <w:szCs w:val="21"/>
              </w:rPr>
            </w:pPr>
          </w:p>
        </w:tc>
        <w:tc>
          <w:tcPr>
            <w:tcW w:w="7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pPr>
          </w:p>
          <w:p>
            <w:pPr>
              <w:widowControl/>
              <w:jc w:val="center"/>
              <w:textAlignment w:val="center"/>
            </w:pPr>
          </w:p>
          <w:p>
            <w:pPr>
              <w:widowControl/>
              <w:jc w:val="center"/>
              <w:textAlignment w:val="center"/>
            </w:pPr>
            <w:r>
              <w:rPr>
                <w:rStyle w:val="43"/>
                <w:rFonts w:hint="default" w:ascii="Times New Roman" w:hAnsi="Times New Roman" w:cs="Times New Roman"/>
                <w:sz w:val="21"/>
                <w:szCs w:val="21"/>
              </w:rPr>
              <w:t>项目效益</w:t>
            </w: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p>
          <w:p>
            <w:pPr>
              <w:widowControl/>
              <w:jc w:val="center"/>
              <w:textAlignment w:val="center"/>
            </w:pPr>
            <w:r>
              <w:rPr>
                <w:rFonts w:hint="eastAsia"/>
              </w:rPr>
              <w:t>续上页</w:t>
            </w:r>
          </w:p>
          <w:p>
            <w:pPr>
              <w:widowControl/>
              <w:jc w:val="center"/>
              <w:textAlignment w:val="center"/>
            </w:pPr>
          </w:p>
          <w:p>
            <w:pPr>
              <w:widowControl/>
              <w:jc w:val="center"/>
              <w:textAlignment w:val="center"/>
              <w:rPr>
                <w:color w:val="000000"/>
                <w:szCs w:val="21"/>
              </w:rPr>
            </w:pPr>
          </w:p>
        </w:tc>
        <w:tc>
          <w:tcPr>
            <w:tcW w:w="7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30</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有效解决游客、国旗护卫队如厕难问题</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考核项目实施所产生的社会效益。</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游客、国旗护卫队如厕难问题有效解决，得</w:t>
            </w:r>
            <w:r>
              <w:rPr>
                <w:color w:val="000000"/>
                <w:kern w:val="0"/>
                <w:szCs w:val="21"/>
              </w:rPr>
              <w:t>8</w:t>
            </w:r>
            <w:r>
              <w:rPr>
                <w:rStyle w:val="43"/>
                <w:rFonts w:hint="default" w:ascii="Times New Roman" w:hAnsi="Times New Roman" w:cs="Times New Roman"/>
                <w:sz w:val="21"/>
                <w:szCs w:val="21"/>
              </w:rPr>
              <w:t>（含）</w:t>
            </w:r>
            <w:r>
              <w:rPr>
                <w:color w:val="000000"/>
                <w:kern w:val="0"/>
                <w:szCs w:val="21"/>
              </w:rPr>
              <w:t>-10</w:t>
            </w:r>
            <w:r>
              <w:rPr>
                <w:rStyle w:val="43"/>
                <w:rFonts w:hint="default" w:ascii="Times New Roman" w:hAnsi="Times New Roman" w:cs="Times New Roman"/>
                <w:sz w:val="21"/>
                <w:szCs w:val="21"/>
              </w:rPr>
              <w:t>分；问题解决情况一般得</w:t>
            </w:r>
            <w:r>
              <w:rPr>
                <w:color w:val="000000"/>
                <w:kern w:val="0"/>
                <w:szCs w:val="21"/>
              </w:rPr>
              <w:t>6</w:t>
            </w:r>
            <w:r>
              <w:rPr>
                <w:rStyle w:val="43"/>
                <w:rFonts w:hint="default" w:ascii="Times New Roman" w:hAnsi="Times New Roman" w:cs="Times New Roman"/>
                <w:sz w:val="21"/>
                <w:szCs w:val="21"/>
              </w:rPr>
              <w:t>（含）</w:t>
            </w:r>
            <w:r>
              <w:rPr>
                <w:color w:val="000000"/>
                <w:kern w:val="0"/>
                <w:szCs w:val="21"/>
              </w:rPr>
              <w:t>-8</w:t>
            </w:r>
            <w:r>
              <w:rPr>
                <w:rStyle w:val="43"/>
                <w:rFonts w:hint="default" w:ascii="Times New Roman" w:hAnsi="Times New Roman" w:cs="Times New Roman"/>
                <w:sz w:val="21"/>
                <w:szCs w:val="21"/>
              </w:rPr>
              <w:t>分；问题解决情况不足得</w:t>
            </w:r>
            <w:r>
              <w:rPr>
                <w:color w:val="000000"/>
                <w:kern w:val="0"/>
                <w:szCs w:val="21"/>
              </w:rPr>
              <w:t>0-6</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8</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color w:val="000000"/>
                <w:kern w:val="0"/>
                <w:szCs w:val="21"/>
              </w:rPr>
              <w:t>游客、护卫队如厕难问题得到一定程度解决，但游客方面仍有增设移动卫生间数量的需求。</w:t>
            </w:r>
          </w:p>
        </w:tc>
      </w:tr>
      <w:tr>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有效提升天安门地区形象</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考核项目实施所产生的可持续影响。</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天安门地区形象提升情况较好，得</w:t>
            </w:r>
            <w:r>
              <w:rPr>
                <w:color w:val="000000"/>
                <w:kern w:val="0"/>
                <w:szCs w:val="21"/>
              </w:rPr>
              <w:t>8</w:t>
            </w:r>
            <w:r>
              <w:rPr>
                <w:rStyle w:val="43"/>
                <w:rFonts w:hint="default" w:ascii="Times New Roman" w:hAnsi="Times New Roman" w:cs="Times New Roman"/>
                <w:sz w:val="21"/>
                <w:szCs w:val="21"/>
              </w:rPr>
              <w:t>（含）</w:t>
            </w:r>
            <w:r>
              <w:rPr>
                <w:color w:val="000000"/>
                <w:kern w:val="0"/>
                <w:szCs w:val="21"/>
              </w:rPr>
              <w:t>-10</w:t>
            </w:r>
            <w:r>
              <w:rPr>
                <w:rStyle w:val="43"/>
                <w:rFonts w:hint="default" w:ascii="Times New Roman" w:hAnsi="Times New Roman" w:cs="Times New Roman"/>
                <w:sz w:val="21"/>
                <w:szCs w:val="21"/>
              </w:rPr>
              <w:t>分；天安门地区形象提升情况一般得</w:t>
            </w:r>
            <w:r>
              <w:rPr>
                <w:color w:val="000000"/>
                <w:kern w:val="0"/>
                <w:szCs w:val="21"/>
              </w:rPr>
              <w:t>6</w:t>
            </w:r>
            <w:r>
              <w:rPr>
                <w:rStyle w:val="43"/>
                <w:rFonts w:hint="default" w:ascii="Times New Roman" w:hAnsi="Times New Roman" w:cs="Times New Roman"/>
                <w:sz w:val="21"/>
                <w:szCs w:val="21"/>
              </w:rPr>
              <w:t>（含）</w:t>
            </w:r>
            <w:r>
              <w:rPr>
                <w:color w:val="000000"/>
                <w:kern w:val="0"/>
                <w:szCs w:val="21"/>
              </w:rPr>
              <w:t>-8</w:t>
            </w:r>
            <w:r>
              <w:rPr>
                <w:rStyle w:val="43"/>
                <w:rFonts w:hint="default" w:ascii="Times New Roman" w:hAnsi="Times New Roman" w:cs="Times New Roman"/>
                <w:sz w:val="21"/>
                <w:szCs w:val="21"/>
              </w:rPr>
              <w:t>分；天安门地区形象提升不足得</w:t>
            </w:r>
            <w:r>
              <w:rPr>
                <w:color w:val="000000"/>
                <w:kern w:val="0"/>
                <w:szCs w:val="21"/>
              </w:rPr>
              <w:t>0-6</w:t>
            </w:r>
            <w:r>
              <w:rPr>
                <w:rStyle w:val="43"/>
                <w:rFonts w:hint="default" w:ascii="Times New Roman" w:hAnsi="Times New Roman" w:cs="Times New Roman"/>
                <w:sz w:val="21"/>
                <w:szCs w:val="21"/>
              </w:rPr>
              <w:t>分</w:t>
            </w:r>
            <w:r>
              <w:rPr>
                <w:rStyle w:val="43"/>
                <w:rFonts w:hint="default" w:cs="Times New Roman"/>
                <w:sz w:val="21"/>
                <w:szCs w:val="21"/>
              </w:rPr>
              <w:t>。</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954" w:type="dxa"/>
            <w:tcBorders>
              <w:top w:val="single" w:color="000000" w:sz="4" w:space="0"/>
              <w:left w:val="single" w:color="000000" w:sz="4" w:space="0"/>
              <w:bottom w:val="single" w:color="000000" w:sz="4" w:space="0"/>
              <w:right w:val="single" w:color="000000" w:sz="4" w:space="0"/>
            </w:tcBorders>
            <w:vAlign w:val="center"/>
          </w:tcPr>
          <w:p>
            <w:pPr>
              <w:jc w:val="left"/>
              <w:rPr>
                <w:color w:val="000000"/>
                <w:szCs w:val="21"/>
              </w:rPr>
            </w:pPr>
          </w:p>
        </w:tc>
      </w:tr>
      <w:tr>
        <w:tblPrEx>
          <w:tblCellMar>
            <w:top w:w="0" w:type="dxa"/>
            <w:left w:w="108" w:type="dxa"/>
            <w:bottom w:w="0" w:type="dxa"/>
            <w:right w:w="108" w:type="dxa"/>
          </w:tblCellMar>
        </w:tblPrEx>
        <w:trPr>
          <w:trHeight w:val="864" w:hRule="atLeast"/>
        </w:trPr>
        <w:tc>
          <w:tcPr>
            <w:tcW w:w="83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rStyle w:val="43"/>
                <w:rFonts w:hint="default" w:ascii="Times New Roman" w:hAnsi="Times New Roman" w:cs="Times New Roman"/>
                <w:sz w:val="21"/>
                <w:szCs w:val="21"/>
              </w:rPr>
              <w:t>游客、国旗护卫队满意度</w:t>
            </w:r>
          </w:p>
        </w:tc>
        <w:tc>
          <w:tcPr>
            <w:tcW w:w="6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10</w:t>
            </w:r>
          </w:p>
        </w:tc>
        <w:tc>
          <w:tcPr>
            <w:tcW w:w="17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用以考核本项目服务对象对项目实施效果的满意程度。</w:t>
            </w:r>
          </w:p>
        </w:tc>
        <w:tc>
          <w:tcPr>
            <w:tcW w:w="440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评价要点：</w:t>
            </w:r>
            <w:r>
              <w:rPr>
                <w:color w:val="000000"/>
                <w:kern w:val="0"/>
                <w:szCs w:val="21"/>
              </w:rPr>
              <w:br w:type="textWrapping"/>
            </w:r>
            <w:r>
              <w:rPr>
                <w:rStyle w:val="43"/>
                <w:rFonts w:hint="default" w:ascii="Times New Roman" w:hAnsi="Times New Roman" w:cs="Times New Roman"/>
                <w:sz w:val="21"/>
                <w:szCs w:val="21"/>
              </w:rPr>
              <w:t>得分</w:t>
            </w:r>
            <w:r>
              <w:rPr>
                <w:color w:val="000000"/>
                <w:kern w:val="0"/>
                <w:szCs w:val="21"/>
              </w:rPr>
              <w:t>=</w:t>
            </w:r>
            <w:r>
              <w:rPr>
                <w:rStyle w:val="43"/>
                <w:rFonts w:hint="default" w:ascii="Times New Roman" w:hAnsi="Times New Roman" w:cs="Times New Roman"/>
                <w:sz w:val="21"/>
                <w:szCs w:val="21"/>
              </w:rPr>
              <w:t>游客满意度</w:t>
            </w:r>
            <w:r>
              <w:rPr>
                <w:color w:val="000000"/>
                <w:kern w:val="0"/>
                <w:szCs w:val="21"/>
              </w:rPr>
              <w:t>*5</w:t>
            </w:r>
            <w:r>
              <w:rPr>
                <w:rStyle w:val="43"/>
                <w:rFonts w:hint="default" w:ascii="Times New Roman" w:hAnsi="Times New Roman" w:cs="Times New Roman"/>
                <w:sz w:val="21"/>
                <w:szCs w:val="21"/>
              </w:rPr>
              <w:t>分</w:t>
            </w:r>
            <w:r>
              <w:rPr>
                <w:color w:val="000000"/>
                <w:kern w:val="0"/>
                <w:szCs w:val="21"/>
              </w:rPr>
              <w:t>+</w:t>
            </w:r>
            <w:r>
              <w:rPr>
                <w:rStyle w:val="43"/>
                <w:rFonts w:hint="default" w:ascii="Times New Roman" w:hAnsi="Times New Roman" w:cs="Times New Roman"/>
                <w:sz w:val="21"/>
                <w:szCs w:val="21"/>
              </w:rPr>
              <w:t>国旗护卫队满意度</w:t>
            </w:r>
            <w:r>
              <w:rPr>
                <w:color w:val="000000"/>
                <w:kern w:val="0"/>
                <w:szCs w:val="21"/>
              </w:rPr>
              <w:t>*5</w:t>
            </w:r>
            <w:r>
              <w:rPr>
                <w:rStyle w:val="43"/>
                <w:rFonts w:hint="default" w:ascii="Times New Roman" w:hAnsi="Times New Roman" w:cs="Times New Roman"/>
                <w:sz w:val="21"/>
                <w:szCs w:val="21"/>
              </w:rPr>
              <w:t>分；项目未开展满意度调查的，本指标不得分。</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color w:val="000000"/>
                <w:szCs w:val="21"/>
              </w:rPr>
            </w:pPr>
            <w:r>
              <w:rPr>
                <w:color w:val="000000"/>
                <w:kern w:val="0"/>
                <w:szCs w:val="21"/>
              </w:rPr>
              <w:t>8.75</w:t>
            </w:r>
          </w:p>
        </w:tc>
        <w:tc>
          <w:tcPr>
            <w:tcW w:w="195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szCs w:val="21"/>
              </w:rPr>
            </w:pPr>
            <w:r>
              <w:rPr>
                <w:rStyle w:val="43"/>
                <w:rFonts w:hint="default" w:ascii="Times New Roman" w:hAnsi="Times New Roman" w:cs="Times New Roman"/>
                <w:sz w:val="21"/>
                <w:szCs w:val="21"/>
              </w:rPr>
              <w:t>国旗护卫队满意度为</w:t>
            </w:r>
            <w:r>
              <w:rPr>
                <w:color w:val="000000"/>
                <w:kern w:val="0"/>
                <w:szCs w:val="21"/>
              </w:rPr>
              <w:t>90%</w:t>
            </w:r>
            <w:r>
              <w:rPr>
                <w:rStyle w:val="43"/>
                <w:rFonts w:hint="default" w:ascii="Times New Roman" w:hAnsi="Times New Roman" w:cs="Times New Roman"/>
                <w:sz w:val="21"/>
                <w:szCs w:val="21"/>
              </w:rPr>
              <w:t>，游客满意度为</w:t>
            </w:r>
            <w:r>
              <w:rPr>
                <w:color w:val="000000"/>
                <w:kern w:val="0"/>
                <w:szCs w:val="21"/>
              </w:rPr>
              <w:t>85%</w:t>
            </w:r>
            <w:r>
              <w:rPr>
                <w:rStyle w:val="43"/>
                <w:rFonts w:hint="default" w:ascii="Times New Roman" w:hAnsi="Times New Roman" w:cs="Times New Roman"/>
                <w:sz w:val="21"/>
                <w:szCs w:val="21"/>
              </w:rPr>
              <w:t>。</w:t>
            </w:r>
          </w:p>
        </w:tc>
      </w:tr>
      <w:tr>
        <w:tblPrEx>
          <w:tblCellMar>
            <w:top w:w="0" w:type="dxa"/>
            <w:left w:w="108" w:type="dxa"/>
            <w:bottom w:w="0" w:type="dxa"/>
            <w:right w:w="108" w:type="dxa"/>
          </w:tblCellMar>
        </w:tblPrEx>
        <w:trPr>
          <w:trHeight w:val="312" w:hRule="atLeast"/>
        </w:trPr>
        <w:tc>
          <w:tcPr>
            <w:tcW w:w="327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000000"/>
                <w:szCs w:val="21"/>
              </w:rPr>
            </w:pPr>
            <w:r>
              <w:rPr>
                <w:rStyle w:val="43"/>
                <w:rFonts w:hint="default" w:ascii="Times New Roman" w:hAnsi="Times New Roman" w:cs="Times New Roman"/>
                <w:b/>
                <w:bCs/>
                <w:sz w:val="21"/>
                <w:szCs w:val="21"/>
              </w:rPr>
              <w:t>合计</w:t>
            </w:r>
          </w:p>
        </w:tc>
        <w:tc>
          <w:tcPr>
            <w:tcW w:w="68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color w:val="000000"/>
                <w:szCs w:val="21"/>
              </w:rPr>
            </w:pPr>
            <w:r>
              <w:rPr>
                <w:b/>
                <w:bCs/>
                <w:color w:val="000000"/>
                <w:kern w:val="0"/>
                <w:szCs w:val="21"/>
              </w:rPr>
              <w:t>100</w:t>
            </w:r>
          </w:p>
        </w:tc>
        <w:tc>
          <w:tcPr>
            <w:tcW w:w="617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b/>
                <w:bCs/>
                <w:color w:val="000000"/>
                <w:szCs w:val="21"/>
              </w:rPr>
            </w:pPr>
          </w:p>
        </w:tc>
        <w:tc>
          <w:tcPr>
            <w:tcW w:w="88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b/>
                <w:bCs/>
                <w:color w:val="000000"/>
                <w:szCs w:val="21"/>
              </w:rPr>
            </w:pPr>
            <w:r>
              <w:rPr>
                <w:b/>
                <w:bCs/>
                <w:color w:val="000000"/>
                <w:kern w:val="0"/>
                <w:szCs w:val="21"/>
              </w:rPr>
              <w:t>9</w:t>
            </w:r>
            <w:r>
              <w:rPr>
                <w:rFonts w:hint="eastAsia"/>
                <w:b/>
                <w:bCs/>
                <w:color w:val="000000"/>
                <w:kern w:val="0"/>
                <w:szCs w:val="21"/>
              </w:rPr>
              <w:t>1.74</w:t>
            </w:r>
          </w:p>
        </w:tc>
        <w:tc>
          <w:tcPr>
            <w:tcW w:w="1954" w:type="dxa"/>
            <w:tcBorders>
              <w:top w:val="single" w:color="000000" w:sz="4" w:space="0"/>
              <w:left w:val="single" w:color="000000" w:sz="4" w:space="0"/>
              <w:bottom w:val="single" w:color="000000" w:sz="4" w:space="0"/>
              <w:right w:val="single" w:color="000000" w:sz="4" w:space="0"/>
            </w:tcBorders>
            <w:noWrap/>
            <w:vAlign w:val="center"/>
          </w:tcPr>
          <w:p>
            <w:pPr>
              <w:jc w:val="left"/>
              <w:rPr>
                <w:b/>
                <w:bCs/>
                <w:color w:val="000000"/>
                <w:szCs w:val="21"/>
              </w:rPr>
            </w:pPr>
          </w:p>
        </w:tc>
      </w:tr>
    </w:tbl>
    <w:p>
      <w:pPr>
        <w:pStyle w:val="3"/>
      </w:pPr>
    </w:p>
    <w:sectPr>
      <w:pgSz w:w="16838" w:h="11906" w:orient="landscape"/>
      <w:pgMar w:top="1587" w:right="2098" w:bottom="1474" w:left="1985" w:header="851" w:footer="992" w:gutter="0"/>
      <w:pgNumType w:fmt="numberInDash"/>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Noto Sans Syriac Eastern"/>
    <w:panose1 w:val="02040503050406030204"/>
    <w:charset w:val="00"/>
    <w:family w:val="roman"/>
    <w:pitch w:val="default"/>
    <w:sig w:usb0="00000000" w:usb1="00000000" w:usb2="00000000"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252"/>
        <w:tab w:val="clear" w:pos="4153"/>
        <w:tab w:val="clear" w:pos="8306"/>
      </w:tabs>
      <w:rPr>
        <w:rFonts w:ascii="宋体" w:hAnsi="宋体"/>
        <w:sz w:val="21"/>
        <w:szCs w:val="21"/>
      </w:rPr>
    </w:pPr>
    <w:r>
      <w:rPr>
        <w:sz w:val="21"/>
      </w:rPr>
      <w:pict>
        <v:shape id="文本框 18" o:spid="_x0000_s4097" o:spt="202" type="#_x0000_t202" style="position:absolute;left:0pt;margin-top:0pt;height:144pt;width:144pt;mso-position-horizontal:center;mso-position-horizontal-relative:margin;z-index:251662336;mso-width-relative:page;mso-height-relative:page;" filled="f" stroked="f" coordsize="21600,21600" o:gfxdata="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J14rx0AAAAAUBAAAPAAAAAAAAAAEAIAAAADgA&#10;AABkcnMvZG93bnJldi54bWxQSwECFAAUAAAACACHTuJAb/OFZfsBAADuAwAADgAAAAAAAAABACAA&#10;AAA1AQAAZHJzL2Uyb0RvYy54bWxQSwUGAAAAAAYABgBZAQAAogUAAAAA&#10;">
          <v:path/>
          <v:fill on="f" focussize="0,0"/>
          <v:stroke on="f" joinstyle="miter"/>
          <v:imagedata o:title=""/>
          <o:lock v:ext="edit"/>
          <v:textbox inset="0mm,0mm,0mm,0mm" style="mso-fit-shape-to-text:t;">
            <w:txbxContent>
              <w:p>
                <w:pPr>
                  <w:snapToGrid w:val="0"/>
                  <w:jc w:val="center"/>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- 24 -</w:t>
                </w:r>
                <w:r>
                  <w:rPr>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true"/>
  <w:bordersDoNotSurroundFooter w:val="true"/>
  <w:documentProtection w:enforcement="0"/>
  <w:defaultTabStop w:val="0"/>
  <w:drawingGridHorizontalSpacing w:val="105"/>
  <w:drawingGridVerticalSpacing w:val="158"/>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IzY2E3OTIzMGYxNmI3OTljNzA0ZGM0MGY4ZDFhZTMifQ=="/>
  </w:docVars>
  <w:rsids>
    <w:rsidRoot w:val="00A418E3"/>
    <w:rsid w:val="00000332"/>
    <w:rsid w:val="00000BD9"/>
    <w:rsid w:val="00001CD4"/>
    <w:rsid w:val="000033EE"/>
    <w:rsid w:val="00003EEF"/>
    <w:rsid w:val="000042A6"/>
    <w:rsid w:val="00021A36"/>
    <w:rsid w:val="000264B8"/>
    <w:rsid w:val="00030A44"/>
    <w:rsid w:val="000318DD"/>
    <w:rsid w:val="00033059"/>
    <w:rsid w:val="000357D4"/>
    <w:rsid w:val="0004047E"/>
    <w:rsid w:val="00040A54"/>
    <w:rsid w:val="000603EB"/>
    <w:rsid w:val="000732DD"/>
    <w:rsid w:val="00076653"/>
    <w:rsid w:val="00082D93"/>
    <w:rsid w:val="00093627"/>
    <w:rsid w:val="0009695D"/>
    <w:rsid w:val="00096966"/>
    <w:rsid w:val="000A03B6"/>
    <w:rsid w:val="000A1EAA"/>
    <w:rsid w:val="000A2A79"/>
    <w:rsid w:val="000A79CD"/>
    <w:rsid w:val="000C4E71"/>
    <w:rsid w:val="000C70F4"/>
    <w:rsid w:val="000D6DC7"/>
    <w:rsid w:val="000E1897"/>
    <w:rsid w:val="000E21F9"/>
    <w:rsid w:val="000E4955"/>
    <w:rsid w:val="000F296F"/>
    <w:rsid w:val="000F3309"/>
    <w:rsid w:val="0010254A"/>
    <w:rsid w:val="001032BD"/>
    <w:rsid w:val="001043A3"/>
    <w:rsid w:val="00111AB0"/>
    <w:rsid w:val="00113EE4"/>
    <w:rsid w:val="00114958"/>
    <w:rsid w:val="00120C4E"/>
    <w:rsid w:val="0012171F"/>
    <w:rsid w:val="00122F36"/>
    <w:rsid w:val="001249E7"/>
    <w:rsid w:val="00131200"/>
    <w:rsid w:val="0013579D"/>
    <w:rsid w:val="001366E3"/>
    <w:rsid w:val="00137A0B"/>
    <w:rsid w:val="001405F7"/>
    <w:rsid w:val="001522D5"/>
    <w:rsid w:val="00153859"/>
    <w:rsid w:val="00153D49"/>
    <w:rsid w:val="00155CBE"/>
    <w:rsid w:val="001660EE"/>
    <w:rsid w:val="00174297"/>
    <w:rsid w:val="0019137E"/>
    <w:rsid w:val="00196AF3"/>
    <w:rsid w:val="001A36D3"/>
    <w:rsid w:val="001A3965"/>
    <w:rsid w:val="001C0CD4"/>
    <w:rsid w:val="001C5182"/>
    <w:rsid w:val="001D15AB"/>
    <w:rsid w:val="001E61B1"/>
    <w:rsid w:val="001E6695"/>
    <w:rsid w:val="001F3608"/>
    <w:rsid w:val="00202AB5"/>
    <w:rsid w:val="00213657"/>
    <w:rsid w:val="00224B77"/>
    <w:rsid w:val="0023198C"/>
    <w:rsid w:val="00240F06"/>
    <w:rsid w:val="00242663"/>
    <w:rsid w:val="00245244"/>
    <w:rsid w:val="00247925"/>
    <w:rsid w:val="002570D0"/>
    <w:rsid w:val="00260B1F"/>
    <w:rsid w:val="00261F26"/>
    <w:rsid w:val="00262B76"/>
    <w:rsid w:val="00264930"/>
    <w:rsid w:val="002649D6"/>
    <w:rsid w:val="00272808"/>
    <w:rsid w:val="00283F59"/>
    <w:rsid w:val="002842CB"/>
    <w:rsid w:val="00284863"/>
    <w:rsid w:val="002850C0"/>
    <w:rsid w:val="00285AC6"/>
    <w:rsid w:val="0029711E"/>
    <w:rsid w:val="002A13DF"/>
    <w:rsid w:val="002A1B69"/>
    <w:rsid w:val="002A6593"/>
    <w:rsid w:val="002B0F4A"/>
    <w:rsid w:val="002B38CB"/>
    <w:rsid w:val="002B606D"/>
    <w:rsid w:val="002C2776"/>
    <w:rsid w:val="002C4E7E"/>
    <w:rsid w:val="002D4855"/>
    <w:rsid w:val="002D54FA"/>
    <w:rsid w:val="002D6499"/>
    <w:rsid w:val="002D6C8C"/>
    <w:rsid w:val="002D743B"/>
    <w:rsid w:val="002E433D"/>
    <w:rsid w:val="002E65D6"/>
    <w:rsid w:val="002F186C"/>
    <w:rsid w:val="002F4639"/>
    <w:rsid w:val="002F538C"/>
    <w:rsid w:val="0030751A"/>
    <w:rsid w:val="0030768E"/>
    <w:rsid w:val="00310433"/>
    <w:rsid w:val="00312A90"/>
    <w:rsid w:val="003134BE"/>
    <w:rsid w:val="00313CCC"/>
    <w:rsid w:val="00322CD5"/>
    <w:rsid w:val="0032477D"/>
    <w:rsid w:val="00326E21"/>
    <w:rsid w:val="00326E35"/>
    <w:rsid w:val="00332753"/>
    <w:rsid w:val="0033645F"/>
    <w:rsid w:val="00336DFF"/>
    <w:rsid w:val="00337935"/>
    <w:rsid w:val="00341123"/>
    <w:rsid w:val="003431F2"/>
    <w:rsid w:val="0034657F"/>
    <w:rsid w:val="00353F6A"/>
    <w:rsid w:val="00357298"/>
    <w:rsid w:val="003575D8"/>
    <w:rsid w:val="003648FA"/>
    <w:rsid w:val="00366A4A"/>
    <w:rsid w:val="00375066"/>
    <w:rsid w:val="003755F3"/>
    <w:rsid w:val="00381866"/>
    <w:rsid w:val="00381E0B"/>
    <w:rsid w:val="003825D1"/>
    <w:rsid w:val="00382D22"/>
    <w:rsid w:val="00383788"/>
    <w:rsid w:val="00396DCF"/>
    <w:rsid w:val="003A4C53"/>
    <w:rsid w:val="003C0D29"/>
    <w:rsid w:val="003C330A"/>
    <w:rsid w:val="003D5AC9"/>
    <w:rsid w:val="003E5451"/>
    <w:rsid w:val="003E6490"/>
    <w:rsid w:val="003F02AE"/>
    <w:rsid w:val="003F7B50"/>
    <w:rsid w:val="0040159D"/>
    <w:rsid w:val="00402E35"/>
    <w:rsid w:val="00406F80"/>
    <w:rsid w:val="004129EE"/>
    <w:rsid w:val="004134A5"/>
    <w:rsid w:val="00423E45"/>
    <w:rsid w:val="00424CBE"/>
    <w:rsid w:val="00430A4C"/>
    <w:rsid w:val="00430CA8"/>
    <w:rsid w:val="004351B7"/>
    <w:rsid w:val="00440614"/>
    <w:rsid w:val="004425D9"/>
    <w:rsid w:val="00455912"/>
    <w:rsid w:val="00461E91"/>
    <w:rsid w:val="004638C1"/>
    <w:rsid w:val="00474FF9"/>
    <w:rsid w:val="00477603"/>
    <w:rsid w:val="00477EA1"/>
    <w:rsid w:val="00480C2A"/>
    <w:rsid w:val="0048329F"/>
    <w:rsid w:val="00490D18"/>
    <w:rsid w:val="00492234"/>
    <w:rsid w:val="00493F3C"/>
    <w:rsid w:val="004A1D70"/>
    <w:rsid w:val="004A4728"/>
    <w:rsid w:val="004A5514"/>
    <w:rsid w:val="004B0A32"/>
    <w:rsid w:val="004B2C6A"/>
    <w:rsid w:val="004B4936"/>
    <w:rsid w:val="004B6AE4"/>
    <w:rsid w:val="004C0AFA"/>
    <w:rsid w:val="004C57AF"/>
    <w:rsid w:val="004D3F93"/>
    <w:rsid w:val="004D62C9"/>
    <w:rsid w:val="004E74E1"/>
    <w:rsid w:val="004F5776"/>
    <w:rsid w:val="004F68E1"/>
    <w:rsid w:val="00505C13"/>
    <w:rsid w:val="005070A0"/>
    <w:rsid w:val="0051371E"/>
    <w:rsid w:val="00516161"/>
    <w:rsid w:val="005206BB"/>
    <w:rsid w:val="005220B7"/>
    <w:rsid w:val="00523D0E"/>
    <w:rsid w:val="00530990"/>
    <w:rsid w:val="005329AA"/>
    <w:rsid w:val="00532C6A"/>
    <w:rsid w:val="00541E22"/>
    <w:rsid w:val="005421DD"/>
    <w:rsid w:val="00542D16"/>
    <w:rsid w:val="00545638"/>
    <w:rsid w:val="00547F01"/>
    <w:rsid w:val="00563CD4"/>
    <w:rsid w:val="00571B13"/>
    <w:rsid w:val="00571C61"/>
    <w:rsid w:val="00584553"/>
    <w:rsid w:val="00586D40"/>
    <w:rsid w:val="00593020"/>
    <w:rsid w:val="005A44E6"/>
    <w:rsid w:val="005B34DA"/>
    <w:rsid w:val="005B429E"/>
    <w:rsid w:val="005C043A"/>
    <w:rsid w:val="005C246D"/>
    <w:rsid w:val="005C3BD0"/>
    <w:rsid w:val="005C5554"/>
    <w:rsid w:val="005C7898"/>
    <w:rsid w:val="005D2743"/>
    <w:rsid w:val="005E1864"/>
    <w:rsid w:val="005E4EC3"/>
    <w:rsid w:val="005E5F29"/>
    <w:rsid w:val="005E7D0F"/>
    <w:rsid w:val="005F1918"/>
    <w:rsid w:val="005F3C02"/>
    <w:rsid w:val="00603688"/>
    <w:rsid w:val="00605FC0"/>
    <w:rsid w:val="00606B68"/>
    <w:rsid w:val="0061500B"/>
    <w:rsid w:val="006155ED"/>
    <w:rsid w:val="00617A0D"/>
    <w:rsid w:val="00620304"/>
    <w:rsid w:val="00621301"/>
    <w:rsid w:val="00627996"/>
    <w:rsid w:val="006456C9"/>
    <w:rsid w:val="00647814"/>
    <w:rsid w:val="00656123"/>
    <w:rsid w:val="00661464"/>
    <w:rsid w:val="0066449F"/>
    <w:rsid w:val="00671208"/>
    <w:rsid w:val="00673DB5"/>
    <w:rsid w:val="006809AF"/>
    <w:rsid w:val="006854E1"/>
    <w:rsid w:val="00686CA0"/>
    <w:rsid w:val="006A00C4"/>
    <w:rsid w:val="006A2E68"/>
    <w:rsid w:val="006A3F21"/>
    <w:rsid w:val="006A5290"/>
    <w:rsid w:val="006A62DE"/>
    <w:rsid w:val="006A782F"/>
    <w:rsid w:val="006B135F"/>
    <w:rsid w:val="006B2471"/>
    <w:rsid w:val="006C7DBD"/>
    <w:rsid w:val="006D709C"/>
    <w:rsid w:val="006E5C86"/>
    <w:rsid w:val="0070255E"/>
    <w:rsid w:val="00706DDB"/>
    <w:rsid w:val="007124E1"/>
    <w:rsid w:val="00714625"/>
    <w:rsid w:val="0071728A"/>
    <w:rsid w:val="00721929"/>
    <w:rsid w:val="00734F85"/>
    <w:rsid w:val="0073785D"/>
    <w:rsid w:val="007444A3"/>
    <w:rsid w:val="0074514B"/>
    <w:rsid w:val="00774AF2"/>
    <w:rsid w:val="00776074"/>
    <w:rsid w:val="0077791C"/>
    <w:rsid w:val="007811D1"/>
    <w:rsid w:val="0078230E"/>
    <w:rsid w:val="00786084"/>
    <w:rsid w:val="007941C1"/>
    <w:rsid w:val="00795274"/>
    <w:rsid w:val="007A352A"/>
    <w:rsid w:val="007B4280"/>
    <w:rsid w:val="007B45D0"/>
    <w:rsid w:val="007C051D"/>
    <w:rsid w:val="007D0638"/>
    <w:rsid w:val="007D10E5"/>
    <w:rsid w:val="007D11BC"/>
    <w:rsid w:val="007D1909"/>
    <w:rsid w:val="007F1A58"/>
    <w:rsid w:val="008062F0"/>
    <w:rsid w:val="008144AC"/>
    <w:rsid w:val="00814A65"/>
    <w:rsid w:val="00820F48"/>
    <w:rsid w:val="00821AE4"/>
    <w:rsid w:val="00825960"/>
    <w:rsid w:val="00830ADB"/>
    <w:rsid w:val="00831005"/>
    <w:rsid w:val="008417F8"/>
    <w:rsid w:val="00842170"/>
    <w:rsid w:val="0084754E"/>
    <w:rsid w:val="00857CEC"/>
    <w:rsid w:val="008848C0"/>
    <w:rsid w:val="00884A72"/>
    <w:rsid w:val="00887F25"/>
    <w:rsid w:val="008A4C3D"/>
    <w:rsid w:val="008B05DC"/>
    <w:rsid w:val="008B18BC"/>
    <w:rsid w:val="008B79C4"/>
    <w:rsid w:val="008D603D"/>
    <w:rsid w:val="008D7597"/>
    <w:rsid w:val="008E17B0"/>
    <w:rsid w:val="008E3F20"/>
    <w:rsid w:val="008E5A83"/>
    <w:rsid w:val="008F0EAA"/>
    <w:rsid w:val="008F121F"/>
    <w:rsid w:val="008F1A03"/>
    <w:rsid w:val="008F2069"/>
    <w:rsid w:val="008F6645"/>
    <w:rsid w:val="009060F6"/>
    <w:rsid w:val="009113F5"/>
    <w:rsid w:val="009170A1"/>
    <w:rsid w:val="0093643A"/>
    <w:rsid w:val="009411CC"/>
    <w:rsid w:val="009512AB"/>
    <w:rsid w:val="00954640"/>
    <w:rsid w:val="009575F2"/>
    <w:rsid w:val="00961113"/>
    <w:rsid w:val="009667C7"/>
    <w:rsid w:val="0097239F"/>
    <w:rsid w:val="0097513C"/>
    <w:rsid w:val="009767F0"/>
    <w:rsid w:val="00976C62"/>
    <w:rsid w:val="00981246"/>
    <w:rsid w:val="009828DA"/>
    <w:rsid w:val="00984073"/>
    <w:rsid w:val="00985C09"/>
    <w:rsid w:val="009A7BD2"/>
    <w:rsid w:val="009B0B6F"/>
    <w:rsid w:val="009B2C5B"/>
    <w:rsid w:val="009B5FC8"/>
    <w:rsid w:val="009C0CAF"/>
    <w:rsid w:val="009C14B7"/>
    <w:rsid w:val="009C791F"/>
    <w:rsid w:val="009D6052"/>
    <w:rsid w:val="009E1A7B"/>
    <w:rsid w:val="009F0503"/>
    <w:rsid w:val="009F3A68"/>
    <w:rsid w:val="00A05601"/>
    <w:rsid w:val="00A06935"/>
    <w:rsid w:val="00A176A4"/>
    <w:rsid w:val="00A2290E"/>
    <w:rsid w:val="00A3113B"/>
    <w:rsid w:val="00A373AA"/>
    <w:rsid w:val="00A418E3"/>
    <w:rsid w:val="00A423E1"/>
    <w:rsid w:val="00A45E7A"/>
    <w:rsid w:val="00A46177"/>
    <w:rsid w:val="00A46AC6"/>
    <w:rsid w:val="00A46C42"/>
    <w:rsid w:val="00A50633"/>
    <w:rsid w:val="00A544BB"/>
    <w:rsid w:val="00A63C18"/>
    <w:rsid w:val="00A74608"/>
    <w:rsid w:val="00A7696F"/>
    <w:rsid w:val="00A82F3E"/>
    <w:rsid w:val="00A83D5C"/>
    <w:rsid w:val="00A872D8"/>
    <w:rsid w:val="00A90700"/>
    <w:rsid w:val="00A90DBF"/>
    <w:rsid w:val="00A93AD9"/>
    <w:rsid w:val="00A94D94"/>
    <w:rsid w:val="00AA728F"/>
    <w:rsid w:val="00AB367E"/>
    <w:rsid w:val="00AC0F18"/>
    <w:rsid w:val="00AC1D5E"/>
    <w:rsid w:val="00AC6A2F"/>
    <w:rsid w:val="00AD00EE"/>
    <w:rsid w:val="00AD39C7"/>
    <w:rsid w:val="00AD6229"/>
    <w:rsid w:val="00AE0FE9"/>
    <w:rsid w:val="00AE3277"/>
    <w:rsid w:val="00AF01F8"/>
    <w:rsid w:val="00B04028"/>
    <w:rsid w:val="00B24DCF"/>
    <w:rsid w:val="00B275ED"/>
    <w:rsid w:val="00B36358"/>
    <w:rsid w:val="00B469E0"/>
    <w:rsid w:val="00B54858"/>
    <w:rsid w:val="00B54B2C"/>
    <w:rsid w:val="00B567E5"/>
    <w:rsid w:val="00B643F2"/>
    <w:rsid w:val="00B66FCA"/>
    <w:rsid w:val="00B73789"/>
    <w:rsid w:val="00B80897"/>
    <w:rsid w:val="00B91311"/>
    <w:rsid w:val="00B925C4"/>
    <w:rsid w:val="00B972DE"/>
    <w:rsid w:val="00BB6880"/>
    <w:rsid w:val="00BB79AB"/>
    <w:rsid w:val="00BC1513"/>
    <w:rsid w:val="00BD4072"/>
    <w:rsid w:val="00BF0A73"/>
    <w:rsid w:val="00BF1546"/>
    <w:rsid w:val="00BF2737"/>
    <w:rsid w:val="00BF5C31"/>
    <w:rsid w:val="00C04525"/>
    <w:rsid w:val="00C11BEE"/>
    <w:rsid w:val="00C11D2E"/>
    <w:rsid w:val="00C12967"/>
    <w:rsid w:val="00C21FDA"/>
    <w:rsid w:val="00C23CA9"/>
    <w:rsid w:val="00C2614E"/>
    <w:rsid w:val="00C3007D"/>
    <w:rsid w:val="00C31FFA"/>
    <w:rsid w:val="00C370B6"/>
    <w:rsid w:val="00C372B4"/>
    <w:rsid w:val="00C43ACB"/>
    <w:rsid w:val="00C45C1B"/>
    <w:rsid w:val="00C46D73"/>
    <w:rsid w:val="00C67525"/>
    <w:rsid w:val="00C7212B"/>
    <w:rsid w:val="00C847EA"/>
    <w:rsid w:val="00C9457E"/>
    <w:rsid w:val="00C95911"/>
    <w:rsid w:val="00CB249B"/>
    <w:rsid w:val="00CB4902"/>
    <w:rsid w:val="00CC0AEA"/>
    <w:rsid w:val="00CC1B7E"/>
    <w:rsid w:val="00CC2B2F"/>
    <w:rsid w:val="00CC3D01"/>
    <w:rsid w:val="00CC3DD6"/>
    <w:rsid w:val="00CC45B9"/>
    <w:rsid w:val="00CC719A"/>
    <w:rsid w:val="00CD0D95"/>
    <w:rsid w:val="00CD1603"/>
    <w:rsid w:val="00CD18DA"/>
    <w:rsid w:val="00CE5CEB"/>
    <w:rsid w:val="00CE7896"/>
    <w:rsid w:val="00CF0B87"/>
    <w:rsid w:val="00CF44D1"/>
    <w:rsid w:val="00D0158A"/>
    <w:rsid w:val="00D13733"/>
    <w:rsid w:val="00D15FB6"/>
    <w:rsid w:val="00D16E8E"/>
    <w:rsid w:val="00D25A96"/>
    <w:rsid w:val="00D27145"/>
    <w:rsid w:val="00D32644"/>
    <w:rsid w:val="00D405EB"/>
    <w:rsid w:val="00D47270"/>
    <w:rsid w:val="00D54AA2"/>
    <w:rsid w:val="00D56CDF"/>
    <w:rsid w:val="00D6205D"/>
    <w:rsid w:val="00D6665A"/>
    <w:rsid w:val="00D743B5"/>
    <w:rsid w:val="00D76118"/>
    <w:rsid w:val="00D76B24"/>
    <w:rsid w:val="00D82D20"/>
    <w:rsid w:val="00D848D0"/>
    <w:rsid w:val="00D87E2D"/>
    <w:rsid w:val="00D940F8"/>
    <w:rsid w:val="00D958AE"/>
    <w:rsid w:val="00DB432C"/>
    <w:rsid w:val="00DB6D22"/>
    <w:rsid w:val="00DB7011"/>
    <w:rsid w:val="00DC0D06"/>
    <w:rsid w:val="00DC0E22"/>
    <w:rsid w:val="00DC4251"/>
    <w:rsid w:val="00DC4B51"/>
    <w:rsid w:val="00DD06FD"/>
    <w:rsid w:val="00DD20F7"/>
    <w:rsid w:val="00DD2C43"/>
    <w:rsid w:val="00DD4CAA"/>
    <w:rsid w:val="00DE186F"/>
    <w:rsid w:val="00DE390F"/>
    <w:rsid w:val="00DE589F"/>
    <w:rsid w:val="00DE5F41"/>
    <w:rsid w:val="00DF10A4"/>
    <w:rsid w:val="00E0042A"/>
    <w:rsid w:val="00E01C03"/>
    <w:rsid w:val="00E03180"/>
    <w:rsid w:val="00E16912"/>
    <w:rsid w:val="00E20D9D"/>
    <w:rsid w:val="00E319E5"/>
    <w:rsid w:val="00E31F4F"/>
    <w:rsid w:val="00E34CF6"/>
    <w:rsid w:val="00E37770"/>
    <w:rsid w:val="00E43D86"/>
    <w:rsid w:val="00E45A36"/>
    <w:rsid w:val="00E47689"/>
    <w:rsid w:val="00E47910"/>
    <w:rsid w:val="00E5087B"/>
    <w:rsid w:val="00E5113D"/>
    <w:rsid w:val="00E57E17"/>
    <w:rsid w:val="00E62EA1"/>
    <w:rsid w:val="00E65008"/>
    <w:rsid w:val="00E748C4"/>
    <w:rsid w:val="00E83932"/>
    <w:rsid w:val="00E91B03"/>
    <w:rsid w:val="00E960F9"/>
    <w:rsid w:val="00EA45FB"/>
    <w:rsid w:val="00EB0D46"/>
    <w:rsid w:val="00EB10CB"/>
    <w:rsid w:val="00EB38AB"/>
    <w:rsid w:val="00EC7B1B"/>
    <w:rsid w:val="00ED76BB"/>
    <w:rsid w:val="00EE6FFF"/>
    <w:rsid w:val="00EF058C"/>
    <w:rsid w:val="00EF1D4D"/>
    <w:rsid w:val="00EF33BA"/>
    <w:rsid w:val="00EF3EC7"/>
    <w:rsid w:val="00EF6070"/>
    <w:rsid w:val="00F000E6"/>
    <w:rsid w:val="00F00AC7"/>
    <w:rsid w:val="00F00BD1"/>
    <w:rsid w:val="00F1020D"/>
    <w:rsid w:val="00F12CB9"/>
    <w:rsid w:val="00F2644A"/>
    <w:rsid w:val="00F27441"/>
    <w:rsid w:val="00F30F55"/>
    <w:rsid w:val="00F40F42"/>
    <w:rsid w:val="00F41B34"/>
    <w:rsid w:val="00F4229D"/>
    <w:rsid w:val="00F5169A"/>
    <w:rsid w:val="00F51E3A"/>
    <w:rsid w:val="00F51EEE"/>
    <w:rsid w:val="00F52D44"/>
    <w:rsid w:val="00F55AD2"/>
    <w:rsid w:val="00F621F4"/>
    <w:rsid w:val="00F64B11"/>
    <w:rsid w:val="00F73166"/>
    <w:rsid w:val="00F7333C"/>
    <w:rsid w:val="00F73DDB"/>
    <w:rsid w:val="00F80C5D"/>
    <w:rsid w:val="00FA2598"/>
    <w:rsid w:val="00FA33F8"/>
    <w:rsid w:val="00FB263C"/>
    <w:rsid w:val="00FB3A84"/>
    <w:rsid w:val="00FB6D48"/>
    <w:rsid w:val="00FC31BE"/>
    <w:rsid w:val="00FC4402"/>
    <w:rsid w:val="00FC6317"/>
    <w:rsid w:val="00FE099A"/>
    <w:rsid w:val="00FE5EEC"/>
    <w:rsid w:val="00FF23D3"/>
    <w:rsid w:val="00FF2E74"/>
    <w:rsid w:val="01024F49"/>
    <w:rsid w:val="01235E0D"/>
    <w:rsid w:val="013A0344"/>
    <w:rsid w:val="01B34E22"/>
    <w:rsid w:val="01BC5E30"/>
    <w:rsid w:val="01CC0F4A"/>
    <w:rsid w:val="01D90B32"/>
    <w:rsid w:val="01E4322D"/>
    <w:rsid w:val="01F176F8"/>
    <w:rsid w:val="020C008E"/>
    <w:rsid w:val="02145195"/>
    <w:rsid w:val="021B6523"/>
    <w:rsid w:val="026E6F9B"/>
    <w:rsid w:val="02BC7D06"/>
    <w:rsid w:val="02E92C84"/>
    <w:rsid w:val="02ED6112"/>
    <w:rsid w:val="033F4770"/>
    <w:rsid w:val="03604B36"/>
    <w:rsid w:val="038500F8"/>
    <w:rsid w:val="038703EA"/>
    <w:rsid w:val="039510C7"/>
    <w:rsid w:val="03BC6D4F"/>
    <w:rsid w:val="03EC6418"/>
    <w:rsid w:val="04095165"/>
    <w:rsid w:val="04210376"/>
    <w:rsid w:val="044955CA"/>
    <w:rsid w:val="047907F2"/>
    <w:rsid w:val="04817329"/>
    <w:rsid w:val="04832DF6"/>
    <w:rsid w:val="04BF763E"/>
    <w:rsid w:val="04C24726"/>
    <w:rsid w:val="04F217BD"/>
    <w:rsid w:val="05080DE3"/>
    <w:rsid w:val="05095F17"/>
    <w:rsid w:val="0533422A"/>
    <w:rsid w:val="05551D4C"/>
    <w:rsid w:val="0559183C"/>
    <w:rsid w:val="057E12A3"/>
    <w:rsid w:val="05A625A8"/>
    <w:rsid w:val="05D830A9"/>
    <w:rsid w:val="05FA7E38"/>
    <w:rsid w:val="05FD666C"/>
    <w:rsid w:val="060C479B"/>
    <w:rsid w:val="063F4ED6"/>
    <w:rsid w:val="064F2C3F"/>
    <w:rsid w:val="066F6E3E"/>
    <w:rsid w:val="068E5516"/>
    <w:rsid w:val="069018D0"/>
    <w:rsid w:val="06AC58B1"/>
    <w:rsid w:val="06D17B30"/>
    <w:rsid w:val="06F431A1"/>
    <w:rsid w:val="07213466"/>
    <w:rsid w:val="07CB1A68"/>
    <w:rsid w:val="07DF154E"/>
    <w:rsid w:val="07F341CA"/>
    <w:rsid w:val="08057A5A"/>
    <w:rsid w:val="085E716A"/>
    <w:rsid w:val="08AC5AEC"/>
    <w:rsid w:val="08CA1147"/>
    <w:rsid w:val="08F1747B"/>
    <w:rsid w:val="091D0DD3"/>
    <w:rsid w:val="09347DF8"/>
    <w:rsid w:val="093D7EF4"/>
    <w:rsid w:val="093E3D8E"/>
    <w:rsid w:val="09474F6B"/>
    <w:rsid w:val="094E5430"/>
    <w:rsid w:val="0962316C"/>
    <w:rsid w:val="098B21E0"/>
    <w:rsid w:val="0A132C02"/>
    <w:rsid w:val="0A134A7F"/>
    <w:rsid w:val="0A5309AB"/>
    <w:rsid w:val="0A6561A8"/>
    <w:rsid w:val="0A6B75FC"/>
    <w:rsid w:val="0AD40023"/>
    <w:rsid w:val="0AE23827"/>
    <w:rsid w:val="0B263653"/>
    <w:rsid w:val="0B346BA5"/>
    <w:rsid w:val="0B6902FF"/>
    <w:rsid w:val="0BDC6D23"/>
    <w:rsid w:val="0BF221D6"/>
    <w:rsid w:val="0BFB6519"/>
    <w:rsid w:val="0C272694"/>
    <w:rsid w:val="0D5A794F"/>
    <w:rsid w:val="0D755681"/>
    <w:rsid w:val="0D7F658A"/>
    <w:rsid w:val="0D8145D3"/>
    <w:rsid w:val="0D893E9D"/>
    <w:rsid w:val="0D997775"/>
    <w:rsid w:val="0DB152C7"/>
    <w:rsid w:val="0DB937C0"/>
    <w:rsid w:val="0DC57CC8"/>
    <w:rsid w:val="0E0367C6"/>
    <w:rsid w:val="0E172295"/>
    <w:rsid w:val="0E1B016B"/>
    <w:rsid w:val="0E1B4FE3"/>
    <w:rsid w:val="0E4C37B5"/>
    <w:rsid w:val="0E6B1B90"/>
    <w:rsid w:val="0E763912"/>
    <w:rsid w:val="0E9E07BB"/>
    <w:rsid w:val="0E9E5C0C"/>
    <w:rsid w:val="0EAA5BCB"/>
    <w:rsid w:val="0EE13E06"/>
    <w:rsid w:val="0F256C33"/>
    <w:rsid w:val="0F315C2C"/>
    <w:rsid w:val="0F3711F8"/>
    <w:rsid w:val="0F851480"/>
    <w:rsid w:val="0F944276"/>
    <w:rsid w:val="0F9E0533"/>
    <w:rsid w:val="0FA57C09"/>
    <w:rsid w:val="0FA82D44"/>
    <w:rsid w:val="0FD50659"/>
    <w:rsid w:val="10090E57"/>
    <w:rsid w:val="1038471B"/>
    <w:rsid w:val="10C5247C"/>
    <w:rsid w:val="10E41868"/>
    <w:rsid w:val="10F21E27"/>
    <w:rsid w:val="10F7015B"/>
    <w:rsid w:val="11083C38"/>
    <w:rsid w:val="113952D7"/>
    <w:rsid w:val="11494E5B"/>
    <w:rsid w:val="114B3D33"/>
    <w:rsid w:val="116973E7"/>
    <w:rsid w:val="118D631D"/>
    <w:rsid w:val="11D012BA"/>
    <w:rsid w:val="11DC5CCF"/>
    <w:rsid w:val="120122F0"/>
    <w:rsid w:val="12064AFA"/>
    <w:rsid w:val="12081A72"/>
    <w:rsid w:val="120E7E53"/>
    <w:rsid w:val="121A13EC"/>
    <w:rsid w:val="12345A34"/>
    <w:rsid w:val="12456580"/>
    <w:rsid w:val="128F6705"/>
    <w:rsid w:val="12AC46E9"/>
    <w:rsid w:val="12E56964"/>
    <w:rsid w:val="12F26E2C"/>
    <w:rsid w:val="130410E0"/>
    <w:rsid w:val="132A2A6A"/>
    <w:rsid w:val="134D130F"/>
    <w:rsid w:val="134F24D1"/>
    <w:rsid w:val="13525B1D"/>
    <w:rsid w:val="136449A5"/>
    <w:rsid w:val="136E6DFB"/>
    <w:rsid w:val="13766E49"/>
    <w:rsid w:val="138C6244"/>
    <w:rsid w:val="13911CEB"/>
    <w:rsid w:val="13926A8A"/>
    <w:rsid w:val="13B07D01"/>
    <w:rsid w:val="13B505FF"/>
    <w:rsid w:val="13B95A59"/>
    <w:rsid w:val="13E34104"/>
    <w:rsid w:val="13F37300"/>
    <w:rsid w:val="14140D5F"/>
    <w:rsid w:val="14162FE4"/>
    <w:rsid w:val="14470312"/>
    <w:rsid w:val="1468061C"/>
    <w:rsid w:val="146F7CA6"/>
    <w:rsid w:val="148D36FB"/>
    <w:rsid w:val="148D56A6"/>
    <w:rsid w:val="14AC44C5"/>
    <w:rsid w:val="14D334D2"/>
    <w:rsid w:val="14E153AA"/>
    <w:rsid w:val="14E56F2F"/>
    <w:rsid w:val="14E804E7"/>
    <w:rsid w:val="150572CB"/>
    <w:rsid w:val="15113EE2"/>
    <w:rsid w:val="151614F8"/>
    <w:rsid w:val="151D2430"/>
    <w:rsid w:val="152534E9"/>
    <w:rsid w:val="155F6BCC"/>
    <w:rsid w:val="156D4E90"/>
    <w:rsid w:val="15AA3C3C"/>
    <w:rsid w:val="15C01464"/>
    <w:rsid w:val="15E05662"/>
    <w:rsid w:val="15E43B43"/>
    <w:rsid w:val="16332216"/>
    <w:rsid w:val="164C2CF7"/>
    <w:rsid w:val="167E7824"/>
    <w:rsid w:val="16B56AEF"/>
    <w:rsid w:val="16F226FA"/>
    <w:rsid w:val="16FC296F"/>
    <w:rsid w:val="17285513"/>
    <w:rsid w:val="17342109"/>
    <w:rsid w:val="17AB180A"/>
    <w:rsid w:val="17AE3C6A"/>
    <w:rsid w:val="17BC45C1"/>
    <w:rsid w:val="17D67317"/>
    <w:rsid w:val="17E10674"/>
    <w:rsid w:val="17E4768B"/>
    <w:rsid w:val="17EB79FC"/>
    <w:rsid w:val="17EC4792"/>
    <w:rsid w:val="17EF7DDE"/>
    <w:rsid w:val="17F174E9"/>
    <w:rsid w:val="18037F78"/>
    <w:rsid w:val="18574301"/>
    <w:rsid w:val="18972950"/>
    <w:rsid w:val="189A5F9C"/>
    <w:rsid w:val="18A443F3"/>
    <w:rsid w:val="18A56F74"/>
    <w:rsid w:val="18F733EE"/>
    <w:rsid w:val="1904741C"/>
    <w:rsid w:val="190E24E6"/>
    <w:rsid w:val="19251389"/>
    <w:rsid w:val="192D0BBE"/>
    <w:rsid w:val="19A96B9D"/>
    <w:rsid w:val="19CE609E"/>
    <w:rsid w:val="19D62B0B"/>
    <w:rsid w:val="19DD3C88"/>
    <w:rsid w:val="19F537FE"/>
    <w:rsid w:val="1A1132D0"/>
    <w:rsid w:val="1A2869DE"/>
    <w:rsid w:val="1A326222"/>
    <w:rsid w:val="1A3C2A96"/>
    <w:rsid w:val="1A696D26"/>
    <w:rsid w:val="1AAF591C"/>
    <w:rsid w:val="1AD615A8"/>
    <w:rsid w:val="1AFF5A5E"/>
    <w:rsid w:val="1B46084B"/>
    <w:rsid w:val="1B530684"/>
    <w:rsid w:val="1B6F1962"/>
    <w:rsid w:val="1B8A0F73"/>
    <w:rsid w:val="1B9061BA"/>
    <w:rsid w:val="1B9238A2"/>
    <w:rsid w:val="1B980CEB"/>
    <w:rsid w:val="1BAF4095"/>
    <w:rsid w:val="1BBE100B"/>
    <w:rsid w:val="1BDE2F56"/>
    <w:rsid w:val="1BE52C3E"/>
    <w:rsid w:val="1BFFB07A"/>
    <w:rsid w:val="1C2E5379"/>
    <w:rsid w:val="1C2F10F1"/>
    <w:rsid w:val="1C5A616E"/>
    <w:rsid w:val="1C70007C"/>
    <w:rsid w:val="1C7A236C"/>
    <w:rsid w:val="1C93342E"/>
    <w:rsid w:val="1CB47CD2"/>
    <w:rsid w:val="1CB75A52"/>
    <w:rsid w:val="1D0600A4"/>
    <w:rsid w:val="1D116D0B"/>
    <w:rsid w:val="1D1E08F1"/>
    <w:rsid w:val="1D2422D8"/>
    <w:rsid w:val="1D312A79"/>
    <w:rsid w:val="1D3764AF"/>
    <w:rsid w:val="1D385D84"/>
    <w:rsid w:val="1D5606A2"/>
    <w:rsid w:val="1D655CA4"/>
    <w:rsid w:val="1DA86B5A"/>
    <w:rsid w:val="1DC615E1"/>
    <w:rsid w:val="1DD27F86"/>
    <w:rsid w:val="1E116491"/>
    <w:rsid w:val="1E2D010B"/>
    <w:rsid w:val="1E6060CD"/>
    <w:rsid w:val="1E6935DD"/>
    <w:rsid w:val="1E761259"/>
    <w:rsid w:val="1E8073BF"/>
    <w:rsid w:val="1E8E4338"/>
    <w:rsid w:val="1E8F1044"/>
    <w:rsid w:val="1E90231B"/>
    <w:rsid w:val="1E934CC5"/>
    <w:rsid w:val="1E936F4B"/>
    <w:rsid w:val="1EB906D3"/>
    <w:rsid w:val="1EC45D2B"/>
    <w:rsid w:val="1ECE2E43"/>
    <w:rsid w:val="1EEE5743"/>
    <w:rsid w:val="1F0E1492"/>
    <w:rsid w:val="1F317777"/>
    <w:rsid w:val="1F385DE2"/>
    <w:rsid w:val="1F7A6920"/>
    <w:rsid w:val="1F8022AA"/>
    <w:rsid w:val="1F8B39D5"/>
    <w:rsid w:val="1FB341E7"/>
    <w:rsid w:val="1FBB40E7"/>
    <w:rsid w:val="1FC34744"/>
    <w:rsid w:val="1FC649BB"/>
    <w:rsid w:val="1FCC67BF"/>
    <w:rsid w:val="1FD71884"/>
    <w:rsid w:val="1FDE2C12"/>
    <w:rsid w:val="1FE16BA6"/>
    <w:rsid w:val="20052A52"/>
    <w:rsid w:val="202E315C"/>
    <w:rsid w:val="204213F3"/>
    <w:rsid w:val="20474C5B"/>
    <w:rsid w:val="20531852"/>
    <w:rsid w:val="20564ADE"/>
    <w:rsid w:val="205B1BF6"/>
    <w:rsid w:val="2080016D"/>
    <w:rsid w:val="20DB33C5"/>
    <w:rsid w:val="21193293"/>
    <w:rsid w:val="211B0028"/>
    <w:rsid w:val="21380A48"/>
    <w:rsid w:val="21554B52"/>
    <w:rsid w:val="21570ECE"/>
    <w:rsid w:val="217F5064"/>
    <w:rsid w:val="218C045A"/>
    <w:rsid w:val="21991FB4"/>
    <w:rsid w:val="21CE762D"/>
    <w:rsid w:val="21D00C81"/>
    <w:rsid w:val="21E83015"/>
    <w:rsid w:val="21EE732A"/>
    <w:rsid w:val="220F759C"/>
    <w:rsid w:val="226D0B35"/>
    <w:rsid w:val="22736B50"/>
    <w:rsid w:val="2274533A"/>
    <w:rsid w:val="229323DA"/>
    <w:rsid w:val="22BD6C0B"/>
    <w:rsid w:val="22D16A5E"/>
    <w:rsid w:val="22D73A16"/>
    <w:rsid w:val="22F4099F"/>
    <w:rsid w:val="22FD7853"/>
    <w:rsid w:val="232413D9"/>
    <w:rsid w:val="23297FCB"/>
    <w:rsid w:val="23342A18"/>
    <w:rsid w:val="236C49D9"/>
    <w:rsid w:val="239006C7"/>
    <w:rsid w:val="23A10B26"/>
    <w:rsid w:val="23A71427"/>
    <w:rsid w:val="23AB72AF"/>
    <w:rsid w:val="23C534C5"/>
    <w:rsid w:val="23ED2428"/>
    <w:rsid w:val="24121E31"/>
    <w:rsid w:val="241A4435"/>
    <w:rsid w:val="2448004A"/>
    <w:rsid w:val="2466069C"/>
    <w:rsid w:val="24797CEF"/>
    <w:rsid w:val="249A7965"/>
    <w:rsid w:val="24BB1774"/>
    <w:rsid w:val="24BE20B4"/>
    <w:rsid w:val="24EC4023"/>
    <w:rsid w:val="2519466C"/>
    <w:rsid w:val="254B256D"/>
    <w:rsid w:val="258255C9"/>
    <w:rsid w:val="258A59E0"/>
    <w:rsid w:val="25A83CC1"/>
    <w:rsid w:val="25E44D60"/>
    <w:rsid w:val="25F93317"/>
    <w:rsid w:val="260458EE"/>
    <w:rsid w:val="261F5D33"/>
    <w:rsid w:val="26417DE4"/>
    <w:rsid w:val="268D078D"/>
    <w:rsid w:val="26A36964"/>
    <w:rsid w:val="26AD3D2B"/>
    <w:rsid w:val="26B24DF9"/>
    <w:rsid w:val="26BF1D6A"/>
    <w:rsid w:val="26DE799C"/>
    <w:rsid w:val="26FB2414"/>
    <w:rsid w:val="270F3B5E"/>
    <w:rsid w:val="27275C6A"/>
    <w:rsid w:val="275613C7"/>
    <w:rsid w:val="276C5CB3"/>
    <w:rsid w:val="276F2284"/>
    <w:rsid w:val="27767BD4"/>
    <w:rsid w:val="27B87C41"/>
    <w:rsid w:val="27D35027"/>
    <w:rsid w:val="281E2746"/>
    <w:rsid w:val="286B1703"/>
    <w:rsid w:val="28796713"/>
    <w:rsid w:val="288C776E"/>
    <w:rsid w:val="2890116A"/>
    <w:rsid w:val="28A013AD"/>
    <w:rsid w:val="28BE44E3"/>
    <w:rsid w:val="28FE42B2"/>
    <w:rsid w:val="29096D87"/>
    <w:rsid w:val="293148BB"/>
    <w:rsid w:val="2934401A"/>
    <w:rsid w:val="295D104C"/>
    <w:rsid w:val="29622B06"/>
    <w:rsid w:val="298016B9"/>
    <w:rsid w:val="29982084"/>
    <w:rsid w:val="29AB3CBF"/>
    <w:rsid w:val="29C4731D"/>
    <w:rsid w:val="29E130AE"/>
    <w:rsid w:val="2A890412"/>
    <w:rsid w:val="2AA34A80"/>
    <w:rsid w:val="2ACF41CB"/>
    <w:rsid w:val="2AFC6642"/>
    <w:rsid w:val="2B0B2D29"/>
    <w:rsid w:val="2B2112CD"/>
    <w:rsid w:val="2B2F075F"/>
    <w:rsid w:val="2B403127"/>
    <w:rsid w:val="2B6577D0"/>
    <w:rsid w:val="2B81368A"/>
    <w:rsid w:val="2B8E5F00"/>
    <w:rsid w:val="2BE60795"/>
    <w:rsid w:val="2C134174"/>
    <w:rsid w:val="2C224286"/>
    <w:rsid w:val="2C2275E6"/>
    <w:rsid w:val="2C35087A"/>
    <w:rsid w:val="2C430486"/>
    <w:rsid w:val="2C4E1120"/>
    <w:rsid w:val="2C5F43D6"/>
    <w:rsid w:val="2C70442D"/>
    <w:rsid w:val="2C73358C"/>
    <w:rsid w:val="2C7643FB"/>
    <w:rsid w:val="2C7F577D"/>
    <w:rsid w:val="2C974375"/>
    <w:rsid w:val="2C9B5496"/>
    <w:rsid w:val="2CED0939"/>
    <w:rsid w:val="2CEF054C"/>
    <w:rsid w:val="2D193B1E"/>
    <w:rsid w:val="2D2F6F3F"/>
    <w:rsid w:val="2D5674A8"/>
    <w:rsid w:val="2D5704A8"/>
    <w:rsid w:val="2D6A3D37"/>
    <w:rsid w:val="2D937732"/>
    <w:rsid w:val="2DCF44E2"/>
    <w:rsid w:val="2DD13DB6"/>
    <w:rsid w:val="2DD44B88"/>
    <w:rsid w:val="2DED7D1F"/>
    <w:rsid w:val="2DEF5072"/>
    <w:rsid w:val="2E3507E9"/>
    <w:rsid w:val="2ED40002"/>
    <w:rsid w:val="2EED126B"/>
    <w:rsid w:val="2F104DB2"/>
    <w:rsid w:val="2F1E302B"/>
    <w:rsid w:val="2F4E3FEE"/>
    <w:rsid w:val="2F785F27"/>
    <w:rsid w:val="2F792957"/>
    <w:rsid w:val="2F7C63DF"/>
    <w:rsid w:val="2F94193F"/>
    <w:rsid w:val="2F9F0337"/>
    <w:rsid w:val="2FBD760A"/>
    <w:rsid w:val="2FC31E25"/>
    <w:rsid w:val="2FC55B9D"/>
    <w:rsid w:val="2FCD4A51"/>
    <w:rsid w:val="2FE34275"/>
    <w:rsid w:val="30021A4E"/>
    <w:rsid w:val="300E30A0"/>
    <w:rsid w:val="30156469"/>
    <w:rsid w:val="3029612C"/>
    <w:rsid w:val="30297EDA"/>
    <w:rsid w:val="302F3016"/>
    <w:rsid w:val="3062519A"/>
    <w:rsid w:val="30873D16"/>
    <w:rsid w:val="309612E7"/>
    <w:rsid w:val="30F2764A"/>
    <w:rsid w:val="311741D6"/>
    <w:rsid w:val="3135465C"/>
    <w:rsid w:val="313F54DB"/>
    <w:rsid w:val="31433585"/>
    <w:rsid w:val="31615451"/>
    <w:rsid w:val="316F2E56"/>
    <w:rsid w:val="31741356"/>
    <w:rsid w:val="31752141"/>
    <w:rsid w:val="31C61E45"/>
    <w:rsid w:val="31C72DF2"/>
    <w:rsid w:val="31D255D3"/>
    <w:rsid w:val="323D7021"/>
    <w:rsid w:val="32607DFF"/>
    <w:rsid w:val="327411B4"/>
    <w:rsid w:val="328E5602"/>
    <w:rsid w:val="3291620A"/>
    <w:rsid w:val="32FF13C6"/>
    <w:rsid w:val="330052D3"/>
    <w:rsid w:val="337B56B7"/>
    <w:rsid w:val="33C00B55"/>
    <w:rsid w:val="33C35B93"/>
    <w:rsid w:val="33C43323"/>
    <w:rsid w:val="33D04F4F"/>
    <w:rsid w:val="34086670"/>
    <w:rsid w:val="34592D57"/>
    <w:rsid w:val="348F6779"/>
    <w:rsid w:val="34F32864"/>
    <w:rsid w:val="34F562BD"/>
    <w:rsid w:val="351975ED"/>
    <w:rsid w:val="3538686A"/>
    <w:rsid w:val="35571045"/>
    <w:rsid w:val="3565651E"/>
    <w:rsid w:val="357477E0"/>
    <w:rsid w:val="35990929"/>
    <w:rsid w:val="35A16764"/>
    <w:rsid w:val="35AF3496"/>
    <w:rsid w:val="35BC00FF"/>
    <w:rsid w:val="35F72828"/>
    <w:rsid w:val="35F920FC"/>
    <w:rsid w:val="361A5CA8"/>
    <w:rsid w:val="36275DED"/>
    <w:rsid w:val="364315C9"/>
    <w:rsid w:val="365B2DA6"/>
    <w:rsid w:val="36643A88"/>
    <w:rsid w:val="36653C36"/>
    <w:rsid w:val="366F6862"/>
    <w:rsid w:val="367C4ADB"/>
    <w:rsid w:val="367E2601"/>
    <w:rsid w:val="36906A79"/>
    <w:rsid w:val="36B10C29"/>
    <w:rsid w:val="36BB69D9"/>
    <w:rsid w:val="36C604D3"/>
    <w:rsid w:val="36D87F64"/>
    <w:rsid w:val="36E70246"/>
    <w:rsid w:val="371D1E1A"/>
    <w:rsid w:val="371D2548"/>
    <w:rsid w:val="373E3312"/>
    <w:rsid w:val="37412A93"/>
    <w:rsid w:val="37537F32"/>
    <w:rsid w:val="375A4E1C"/>
    <w:rsid w:val="375E1F6D"/>
    <w:rsid w:val="3768192F"/>
    <w:rsid w:val="37691503"/>
    <w:rsid w:val="376A0D83"/>
    <w:rsid w:val="37735D2E"/>
    <w:rsid w:val="37B02C8E"/>
    <w:rsid w:val="37C32D57"/>
    <w:rsid w:val="37F76E60"/>
    <w:rsid w:val="380657C1"/>
    <w:rsid w:val="38096E5E"/>
    <w:rsid w:val="381476C1"/>
    <w:rsid w:val="38593840"/>
    <w:rsid w:val="386F66A6"/>
    <w:rsid w:val="38991B96"/>
    <w:rsid w:val="38A327F3"/>
    <w:rsid w:val="38E057F5"/>
    <w:rsid w:val="38E23AEC"/>
    <w:rsid w:val="38E41881"/>
    <w:rsid w:val="38E5535B"/>
    <w:rsid w:val="38FF02E4"/>
    <w:rsid w:val="391B496D"/>
    <w:rsid w:val="392D523E"/>
    <w:rsid w:val="393A668A"/>
    <w:rsid w:val="395104A1"/>
    <w:rsid w:val="3A171E9D"/>
    <w:rsid w:val="3A3934CB"/>
    <w:rsid w:val="3A5860C6"/>
    <w:rsid w:val="3A593A9A"/>
    <w:rsid w:val="3A5E69D2"/>
    <w:rsid w:val="3A606BEE"/>
    <w:rsid w:val="3AA12D62"/>
    <w:rsid w:val="3AB7581B"/>
    <w:rsid w:val="3AC01F67"/>
    <w:rsid w:val="3B3534B2"/>
    <w:rsid w:val="3B580ACA"/>
    <w:rsid w:val="3B64086C"/>
    <w:rsid w:val="3B7F4E52"/>
    <w:rsid w:val="3BA024DE"/>
    <w:rsid w:val="3BAA33BF"/>
    <w:rsid w:val="3BAE54F7"/>
    <w:rsid w:val="3BC72008"/>
    <w:rsid w:val="3BD11425"/>
    <w:rsid w:val="3BEB5E22"/>
    <w:rsid w:val="3C103809"/>
    <w:rsid w:val="3C54160F"/>
    <w:rsid w:val="3C64356D"/>
    <w:rsid w:val="3C696E12"/>
    <w:rsid w:val="3C90308E"/>
    <w:rsid w:val="3CBD1DB4"/>
    <w:rsid w:val="3CF9576B"/>
    <w:rsid w:val="3D485717"/>
    <w:rsid w:val="3D506EF2"/>
    <w:rsid w:val="3D65276D"/>
    <w:rsid w:val="3D8175A7"/>
    <w:rsid w:val="3D84252B"/>
    <w:rsid w:val="3D85175C"/>
    <w:rsid w:val="3D911534"/>
    <w:rsid w:val="3DD405A1"/>
    <w:rsid w:val="3DE1169A"/>
    <w:rsid w:val="3DEF4FDE"/>
    <w:rsid w:val="3E563F2A"/>
    <w:rsid w:val="3E633D99"/>
    <w:rsid w:val="3E80476D"/>
    <w:rsid w:val="3E836C45"/>
    <w:rsid w:val="3E916B18"/>
    <w:rsid w:val="3E9B1232"/>
    <w:rsid w:val="3EBB0130"/>
    <w:rsid w:val="3EC139D3"/>
    <w:rsid w:val="3F053C5B"/>
    <w:rsid w:val="3F2E14F3"/>
    <w:rsid w:val="3F3B25DD"/>
    <w:rsid w:val="3F3F4A55"/>
    <w:rsid w:val="3F476B9F"/>
    <w:rsid w:val="3F870779"/>
    <w:rsid w:val="3F9714D2"/>
    <w:rsid w:val="3F9966FE"/>
    <w:rsid w:val="3FDA11F0"/>
    <w:rsid w:val="3FEA6EFF"/>
    <w:rsid w:val="3FF1653A"/>
    <w:rsid w:val="40097805"/>
    <w:rsid w:val="400A1AA1"/>
    <w:rsid w:val="402661E4"/>
    <w:rsid w:val="40267F92"/>
    <w:rsid w:val="402B67F7"/>
    <w:rsid w:val="406012A8"/>
    <w:rsid w:val="406D0FEC"/>
    <w:rsid w:val="40995A3F"/>
    <w:rsid w:val="40B27A77"/>
    <w:rsid w:val="40CE7096"/>
    <w:rsid w:val="410E26BD"/>
    <w:rsid w:val="411A39F7"/>
    <w:rsid w:val="41270465"/>
    <w:rsid w:val="412E5059"/>
    <w:rsid w:val="418C0AE5"/>
    <w:rsid w:val="41953B25"/>
    <w:rsid w:val="41957BAD"/>
    <w:rsid w:val="41AE50CF"/>
    <w:rsid w:val="41ED6A04"/>
    <w:rsid w:val="41F10EE2"/>
    <w:rsid w:val="41FE5AE8"/>
    <w:rsid w:val="42002D12"/>
    <w:rsid w:val="4262601D"/>
    <w:rsid w:val="42731488"/>
    <w:rsid w:val="42927B60"/>
    <w:rsid w:val="42A272C3"/>
    <w:rsid w:val="42A6360C"/>
    <w:rsid w:val="42B11BCE"/>
    <w:rsid w:val="437473DB"/>
    <w:rsid w:val="43BA336E"/>
    <w:rsid w:val="44156528"/>
    <w:rsid w:val="44316D5A"/>
    <w:rsid w:val="44334353"/>
    <w:rsid w:val="444262CF"/>
    <w:rsid w:val="44A1408B"/>
    <w:rsid w:val="44C2585A"/>
    <w:rsid w:val="44C71617"/>
    <w:rsid w:val="44E162FA"/>
    <w:rsid w:val="45845117"/>
    <w:rsid w:val="46170855"/>
    <w:rsid w:val="462F6261"/>
    <w:rsid w:val="463272D7"/>
    <w:rsid w:val="463F7FFF"/>
    <w:rsid w:val="46463D45"/>
    <w:rsid w:val="465D665A"/>
    <w:rsid w:val="465F13C9"/>
    <w:rsid w:val="46DF0E9A"/>
    <w:rsid w:val="47031823"/>
    <w:rsid w:val="474F09D8"/>
    <w:rsid w:val="476D0F0F"/>
    <w:rsid w:val="477A04AC"/>
    <w:rsid w:val="47A63C06"/>
    <w:rsid w:val="47CA3AEC"/>
    <w:rsid w:val="47EF6254"/>
    <w:rsid w:val="48065A5A"/>
    <w:rsid w:val="484A5A16"/>
    <w:rsid w:val="484C631B"/>
    <w:rsid w:val="48515DC8"/>
    <w:rsid w:val="48631C17"/>
    <w:rsid w:val="488066AD"/>
    <w:rsid w:val="48B67A32"/>
    <w:rsid w:val="48C673AE"/>
    <w:rsid w:val="48FA2A60"/>
    <w:rsid w:val="49064E04"/>
    <w:rsid w:val="4911543C"/>
    <w:rsid w:val="49134571"/>
    <w:rsid w:val="49407CA0"/>
    <w:rsid w:val="49877669"/>
    <w:rsid w:val="499E503D"/>
    <w:rsid w:val="49A63EF1"/>
    <w:rsid w:val="49AB775A"/>
    <w:rsid w:val="49B501BF"/>
    <w:rsid w:val="49B55778"/>
    <w:rsid w:val="49C071FF"/>
    <w:rsid w:val="49E07403"/>
    <w:rsid w:val="4A2A2D74"/>
    <w:rsid w:val="4A330DEE"/>
    <w:rsid w:val="4A354012"/>
    <w:rsid w:val="4A452886"/>
    <w:rsid w:val="4A635DB7"/>
    <w:rsid w:val="4A8B5F92"/>
    <w:rsid w:val="4A914BA1"/>
    <w:rsid w:val="4AB327B6"/>
    <w:rsid w:val="4ACB6449"/>
    <w:rsid w:val="4AE85F48"/>
    <w:rsid w:val="4B0D5456"/>
    <w:rsid w:val="4B196E26"/>
    <w:rsid w:val="4B1E7E66"/>
    <w:rsid w:val="4B3519D1"/>
    <w:rsid w:val="4B464BC2"/>
    <w:rsid w:val="4B5856BF"/>
    <w:rsid w:val="4B62209A"/>
    <w:rsid w:val="4B7778D3"/>
    <w:rsid w:val="4B9040E9"/>
    <w:rsid w:val="4BC85F53"/>
    <w:rsid w:val="4BDF193C"/>
    <w:rsid w:val="4BE8653E"/>
    <w:rsid w:val="4C067384"/>
    <w:rsid w:val="4C0849EF"/>
    <w:rsid w:val="4C20442F"/>
    <w:rsid w:val="4C2C4B93"/>
    <w:rsid w:val="4C465B56"/>
    <w:rsid w:val="4C797CE7"/>
    <w:rsid w:val="4C7F5A9B"/>
    <w:rsid w:val="4CBB7CB4"/>
    <w:rsid w:val="4CC73BF0"/>
    <w:rsid w:val="4CE23492"/>
    <w:rsid w:val="4D387556"/>
    <w:rsid w:val="4D3D691B"/>
    <w:rsid w:val="4D3F6C5B"/>
    <w:rsid w:val="4D4B1038"/>
    <w:rsid w:val="4D671BE9"/>
    <w:rsid w:val="4D73058E"/>
    <w:rsid w:val="4D885613"/>
    <w:rsid w:val="4DAB4686"/>
    <w:rsid w:val="4DCC1F84"/>
    <w:rsid w:val="4DF859EE"/>
    <w:rsid w:val="4E0C0EB0"/>
    <w:rsid w:val="4E2431DD"/>
    <w:rsid w:val="4E521526"/>
    <w:rsid w:val="4E982244"/>
    <w:rsid w:val="4EC72427"/>
    <w:rsid w:val="4EF4576E"/>
    <w:rsid w:val="4EFB7312"/>
    <w:rsid w:val="4EFD2801"/>
    <w:rsid w:val="4F2F09B4"/>
    <w:rsid w:val="4F3872A1"/>
    <w:rsid w:val="4F6178F6"/>
    <w:rsid w:val="4F6818EC"/>
    <w:rsid w:val="4F714FA1"/>
    <w:rsid w:val="4F7B57D3"/>
    <w:rsid w:val="4F837875"/>
    <w:rsid w:val="4FFFDE48"/>
    <w:rsid w:val="50291142"/>
    <w:rsid w:val="50440261"/>
    <w:rsid w:val="50483BD7"/>
    <w:rsid w:val="50962436"/>
    <w:rsid w:val="50BB0282"/>
    <w:rsid w:val="51055014"/>
    <w:rsid w:val="510741EB"/>
    <w:rsid w:val="51223266"/>
    <w:rsid w:val="51226553"/>
    <w:rsid w:val="51427A2B"/>
    <w:rsid w:val="5169698B"/>
    <w:rsid w:val="518B234A"/>
    <w:rsid w:val="51B44080"/>
    <w:rsid w:val="51C27A0E"/>
    <w:rsid w:val="52713F1E"/>
    <w:rsid w:val="52762912"/>
    <w:rsid w:val="52B35FD7"/>
    <w:rsid w:val="52C8447B"/>
    <w:rsid w:val="52D61BBA"/>
    <w:rsid w:val="52D66D6A"/>
    <w:rsid w:val="52E10A8F"/>
    <w:rsid w:val="53193489"/>
    <w:rsid w:val="531E0F9C"/>
    <w:rsid w:val="53660394"/>
    <w:rsid w:val="54134879"/>
    <w:rsid w:val="5452747E"/>
    <w:rsid w:val="546E7D96"/>
    <w:rsid w:val="5475533D"/>
    <w:rsid w:val="5483328B"/>
    <w:rsid w:val="548A4B3B"/>
    <w:rsid w:val="54AB6860"/>
    <w:rsid w:val="54BC1D0A"/>
    <w:rsid w:val="54BD093C"/>
    <w:rsid w:val="54F2204B"/>
    <w:rsid w:val="54F71AA5"/>
    <w:rsid w:val="55446489"/>
    <w:rsid w:val="55752F07"/>
    <w:rsid w:val="5577314B"/>
    <w:rsid w:val="5583158B"/>
    <w:rsid w:val="55A44F8B"/>
    <w:rsid w:val="55AC288F"/>
    <w:rsid w:val="55B13095"/>
    <w:rsid w:val="55F34962"/>
    <w:rsid w:val="56010742"/>
    <w:rsid w:val="56101070"/>
    <w:rsid w:val="561225E1"/>
    <w:rsid w:val="561A5A4B"/>
    <w:rsid w:val="56364AFE"/>
    <w:rsid w:val="564451BE"/>
    <w:rsid w:val="56595AD7"/>
    <w:rsid w:val="56C360AD"/>
    <w:rsid w:val="56E068AD"/>
    <w:rsid w:val="56F70E60"/>
    <w:rsid w:val="570023D8"/>
    <w:rsid w:val="572D17AE"/>
    <w:rsid w:val="572E0F8C"/>
    <w:rsid w:val="57507E7B"/>
    <w:rsid w:val="575E405D"/>
    <w:rsid w:val="57A2202D"/>
    <w:rsid w:val="57AB615C"/>
    <w:rsid w:val="57D42CF9"/>
    <w:rsid w:val="58262DCD"/>
    <w:rsid w:val="582A3F3F"/>
    <w:rsid w:val="58481CB4"/>
    <w:rsid w:val="5854775E"/>
    <w:rsid w:val="587C29ED"/>
    <w:rsid w:val="587D49B7"/>
    <w:rsid w:val="589C308F"/>
    <w:rsid w:val="58A522EE"/>
    <w:rsid w:val="58BC06AB"/>
    <w:rsid w:val="58D546E5"/>
    <w:rsid w:val="58FD01C4"/>
    <w:rsid w:val="590D45CB"/>
    <w:rsid w:val="591543ED"/>
    <w:rsid w:val="5923593D"/>
    <w:rsid w:val="592601F2"/>
    <w:rsid w:val="594D4389"/>
    <w:rsid w:val="595219A0"/>
    <w:rsid w:val="597C07CB"/>
    <w:rsid w:val="598D5F3C"/>
    <w:rsid w:val="599C2D86"/>
    <w:rsid w:val="59BF6207"/>
    <w:rsid w:val="59EA71BF"/>
    <w:rsid w:val="59FF5D6D"/>
    <w:rsid w:val="5A1F5BB6"/>
    <w:rsid w:val="5A3F0176"/>
    <w:rsid w:val="5A6569AC"/>
    <w:rsid w:val="5A6D0F83"/>
    <w:rsid w:val="5A7A26C6"/>
    <w:rsid w:val="5A8C7146"/>
    <w:rsid w:val="5AA219DE"/>
    <w:rsid w:val="5AB40314"/>
    <w:rsid w:val="5AC643F3"/>
    <w:rsid w:val="5AF65768"/>
    <w:rsid w:val="5AFF3461"/>
    <w:rsid w:val="5B595267"/>
    <w:rsid w:val="5B9B5E45"/>
    <w:rsid w:val="5BC23DB4"/>
    <w:rsid w:val="5BE96687"/>
    <w:rsid w:val="5C1B7675"/>
    <w:rsid w:val="5C250868"/>
    <w:rsid w:val="5C5934B7"/>
    <w:rsid w:val="5C5D1F8B"/>
    <w:rsid w:val="5C936557"/>
    <w:rsid w:val="5C981DBF"/>
    <w:rsid w:val="5CB970BE"/>
    <w:rsid w:val="5CC52489"/>
    <w:rsid w:val="5CC93D27"/>
    <w:rsid w:val="5CE91900"/>
    <w:rsid w:val="5CFF708F"/>
    <w:rsid w:val="5D417D61"/>
    <w:rsid w:val="5D443E73"/>
    <w:rsid w:val="5D4B33F2"/>
    <w:rsid w:val="5D4E5BA8"/>
    <w:rsid w:val="5DC36855"/>
    <w:rsid w:val="5DDD49C6"/>
    <w:rsid w:val="5DE5BB14"/>
    <w:rsid w:val="5DF179D9"/>
    <w:rsid w:val="5E07736E"/>
    <w:rsid w:val="5E08524A"/>
    <w:rsid w:val="5E1D07CE"/>
    <w:rsid w:val="5E262C13"/>
    <w:rsid w:val="5E3C52C0"/>
    <w:rsid w:val="5E4C1F16"/>
    <w:rsid w:val="5E59118A"/>
    <w:rsid w:val="5EAF39FA"/>
    <w:rsid w:val="5EE90181"/>
    <w:rsid w:val="5EEC5D77"/>
    <w:rsid w:val="5EF70E90"/>
    <w:rsid w:val="5F3B7BEC"/>
    <w:rsid w:val="5FAF1880"/>
    <w:rsid w:val="5FB26E04"/>
    <w:rsid w:val="60291515"/>
    <w:rsid w:val="60536729"/>
    <w:rsid w:val="605D1356"/>
    <w:rsid w:val="60691976"/>
    <w:rsid w:val="60795A64"/>
    <w:rsid w:val="609D50BE"/>
    <w:rsid w:val="60B33F1D"/>
    <w:rsid w:val="60C3434D"/>
    <w:rsid w:val="60C75733"/>
    <w:rsid w:val="610B6F47"/>
    <w:rsid w:val="610D0C72"/>
    <w:rsid w:val="611044C3"/>
    <w:rsid w:val="6115578D"/>
    <w:rsid w:val="61241E74"/>
    <w:rsid w:val="61263D82"/>
    <w:rsid w:val="61357BDD"/>
    <w:rsid w:val="613A2DB2"/>
    <w:rsid w:val="619137D9"/>
    <w:rsid w:val="61CA3E71"/>
    <w:rsid w:val="61D53073"/>
    <w:rsid w:val="61D9628D"/>
    <w:rsid w:val="62304ED1"/>
    <w:rsid w:val="62550AF8"/>
    <w:rsid w:val="629200DF"/>
    <w:rsid w:val="62AE78BE"/>
    <w:rsid w:val="62E5337A"/>
    <w:rsid w:val="62E946E8"/>
    <w:rsid w:val="62F776C2"/>
    <w:rsid w:val="62FD472A"/>
    <w:rsid w:val="632C2066"/>
    <w:rsid w:val="633F2F95"/>
    <w:rsid w:val="634405AB"/>
    <w:rsid w:val="637075F2"/>
    <w:rsid w:val="63A1155A"/>
    <w:rsid w:val="63A4729C"/>
    <w:rsid w:val="63BB4500"/>
    <w:rsid w:val="63C87650"/>
    <w:rsid w:val="63CC4651"/>
    <w:rsid w:val="63D72B16"/>
    <w:rsid w:val="63D80CF3"/>
    <w:rsid w:val="63E657E1"/>
    <w:rsid w:val="64025D70"/>
    <w:rsid w:val="640A6B56"/>
    <w:rsid w:val="6416019A"/>
    <w:rsid w:val="64245EF5"/>
    <w:rsid w:val="643C1282"/>
    <w:rsid w:val="643E3F3F"/>
    <w:rsid w:val="64585C34"/>
    <w:rsid w:val="64907655"/>
    <w:rsid w:val="64923C0E"/>
    <w:rsid w:val="64C27CB1"/>
    <w:rsid w:val="64C64FF0"/>
    <w:rsid w:val="64F2094F"/>
    <w:rsid w:val="65110961"/>
    <w:rsid w:val="652F7039"/>
    <w:rsid w:val="655A301F"/>
    <w:rsid w:val="655E2E5F"/>
    <w:rsid w:val="656B498A"/>
    <w:rsid w:val="6580690A"/>
    <w:rsid w:val="65933B18"/>
    <w:rsid w:val="65A73026"/>
    <w:rsid w:val="65DB1D3C"/>
    <w:rsid w:val="65DB22A8"/>
    <w:rsid w:val="65FA6B02"/>
    <w:rsid w:val="65FC6F1B"/>
    <w:rsid w:val="660C4056"/>
    <w:rsid w:val="660C4E9E"/>
    <w:rsid w:val="66263F98"/>
    <w:rsid w:val="662A1F26"/>
    <w:rsid w:val="664E4678"/>
    <w:rsid w:val="66674847"/>
    <w:rsid w:val="66846F11"/>
    <w:rsid w:val="66D460EA"/>
    <w:rsid w:val="66DF2458"/>
    <w:rsid w:val="66E128B0"/>
    <w:rsid w:val="66EF4CD2"/>
    <w:rsid w:val="66FB31B3"/>
    <w:rsid w:val="672A3F5C"/>
    <w:rsid w:val="67463ADB"/>
    <w:rsid w:val="67532879"/>
    <w:rsid w:val="67580AC9"/>
    <w:rsid w:val="67621F4D"/>
    <w:rsid w:val="67870DB6"/>
    <w:rsid w:val="678A0557"/>
    <w:rsid w:val="67A91325"/>
    <w:rsid w:val="67B444D0"/>
    <w:rsid w:val="67CB5FA0"/>
    <w:rsid w:val="67FE3F23"/>
    <w:rsid w:val="6804655B"/>
    <w:rsid w:val="6806695E"/>
    <w:rsid w:val="68386205"/>
    <w:rsid w:val="685F3791"/>
    <w:rsid w:val="688356D2"/>
    <w:rsid w:val="68846DD9"/>
    <w:rsid w:val="68916536"/>
    <w:rsid w:val="68945B31"/>
    <w:rsid w:val="68B605BB"/>
    <w:rsid w:val="68C43F8C"/>
    <w:rsid w:val="68EE0EBB"/>
    <w:rsid w:val="691274E8"/>
    <w:rsid w:val="6942733B"/>
    <w:rsid w:val="695E7EED"/>
    <w:rsid w:val="69681DC9"/>
    <w:rsid w:val="69B1524A"/>
    <w:rsid w:val="69C108EF"/>
    <w:rsid w:val="69CD29A5"/>
    <w:rsid w:val="69CE7B4F"/>
    <w:rsid w:val="69D863A7"/>
    <w:rsid w:val="6A1B780C"/>
    <w:rsid w:val="6A2A5E71"/>
    <w:rsid w:val="6A3A57CE"/>
    <w:rsid w:val="6A5F5CCB"/>
    <w:rsid w:val="6AAE27AE"/>
    <w:rsid w:val="6ADA4A6D"/>
    <w:rsid w:val="6AF830B1"/>
    <w:rsid w:val="6B106FC5"/>
    <w:rsid w:val="6B234F4A"/>
    <w:rsid w:val="6B3F0A23"/>
    <w:rsid w:val="6B480E55"/>
    <w:rsid w:val="6B487590"/>
    <w:rsid w:val="6B793326"/>
    <w:rsid w:val="6B7C0DFE"/>
    <w:rsid w:val="6B83049F"/>
    <w:rsid w:val="6BC24763"/>
    <w:rsid w:val="6BC524A5"/>
    <w:rsid w:val="6BC71775"/>
    <w:rsid w:val="6BC90AF3"/>
    <w:rsid w:val="6BD011DB"/>
    <w:rsid w:val="6BEC339A"/>
    <w:rsid w:val="6C403153"/>
    <w:rsid w:val="6C4B29AA"/>
    <w:rsid w:val="6C944F76"/>
    <w:rsid w:val="6CA474FA"/>
    <w:rsid w:val="6CB00A5F"/>
    <w:rsid w:val="6D0732CB"/>
    <w:rsid w:val="6D0A2DB0"/>
    <w:rsid w:val="6D0C64B9"/>
    <w:rsid w:val="6D1941CD"/>
    <w:rsid w:val="6D30394E"/>
    <w:rsid w:val="6D4F0278"/>
    <w:rsid w:val="6D673605"/>
    <w:rsid w:val="6D8223FC"/>
    <w:rsid w:val="6DA57E98"/>
    <w:rsid w:val="6DCA0BB7"/>
    <w:rsid w:val="6E012024"/>
    <w:rsid w:val="6E2C558E"/>
    <w:rsid w:val="6E581516"/>
    <w:rsid w:val="6E6C4E5A"/>
    <w:rsid w:val="6E71440B"/>
    <w:rsid w:val="6E8258E1"/>
    <w:rsid w:val="6EC74221"/>
    <w:rsid w:val="6ED11600"/>
    <w:rsid w:val="6EF235B1"/>
    <w:rsid w:val="6F0823A9"/>
    <w:rsid w:val="6F1352D6"/>
    <w:rsid w:val="6F1751E2"/>
    <w:rsid w:val="6F375743"/>
    <w:rsid w:val="6F435BBB"/>
    <w:rsid w:val="6F5002D8"/>
    <w:rsid w:val="6F6F4C02"/>
    <w:rsid w:val="6F8358E0"/>
    <w:rsid w:val="6FB56DEE"/>
    <w:rsid w:val="6FD430CB"/>
    <w:rsid w:val="6FFA03B4"/>
    <w:rsid w:val="70217BD0"/>
    <w:rsid w:val="702A5634"/>
    <w:rsid w:val="70336151"/>
    <w:rsid w:val="708C17E3"/>
    <w:rsid w:val="70D30963"/>
    <w:rsid w:val="70D34D1C"/>
    <w:rsid w:val="70DF5DB7"/>
    <w:rsid w:val="70EB650A"/>
    <w:rsid w:val="70F7672F"/>
    <w:rsid w:val="7128150C"/>
    <w:rsid w:val="713F5188"/>
    <w:rsid w:val="714B419C"/>
    <w:rsid w:val="715045BF"/>
    <w:rsid w:val="71A10F07"/>
    <w:rsid w:val="71BF5925"/>
    <w:rsid w:val="71DB0D27"/>
    <w:rsid w:val="71F848C3"/>
    <w:rsid w:val="71FA11CC"/>
    <w:rsid w:val="72253C9E"/>
    <w:rsid w:val="725A3947"/>
    <w:rsid w:val="726452A3"/>
    <w:rsid w:val="728B1D53"/>
    <w:rsid w:val="72B868C0"/>
    <w:rsid w:val="72BA5CA6"/>
    <w:rsid w:val="72C66AB8"/>
    <w:rsid w:val="72CF0928"/>
    <w:rsid w:val="730537E6"/>
    <w:rsid w:val="73075151"/>
    <w:rsid w:val="733D1412"/>
    <w:rsid w:val="737F2F3A"/>
    <w:rsid w:val="739C07A2"/>
    <w:rsid w:val="73AA26AC"/>
    <w:rsid w:val="73BD6AE5"/>
    <w:rsid w:val="73E3796C"/>
    <w:rsid w:val="73ED07EB"/>
    <w:rsid w:val="74064732"/>
    <w:rsid w:val="742F670E"/>
    <w:rsid w:val="744523D5"/>
    <w:rsid w:val="74551B38"/>
    <w:rsid w:val="747B6291"/>
    <w:rsid w:val="74D35BFF"/>
    <w:rsid w:val="74DA4E33"/>
    <w:rsid w:val="74E93A65"/>
    <w:rsid w:val="75186F1B"/>
    <w:rsid w:val="751D2A0A"/>
    <w:rsid w:val="759D1480"/>
    <w:rsid w:val="75A00E24"/>
    <w:rsid w:val="75A905F2"/>
    <w:rsid w:val="75BB65A0"/>
    <w:rsid w:val="75EF43A6"/>
    <w:rsid w:val="75FC79E5"/>
    <w:rsid w:val="760A11E0"/>
    <w:rsid w:val="762A7AD4"/>
    <w:rsid w:val="764A782F"/>
    <w:rsid w:val="764D6A85"/>
    <w:rsid w:val="76A01535"/>
    <w:rsid w:val="76C56212"/>
    <w:rsid w:val="76DD68F5"/>
    <w:rsid w:val="76F4373D"/>
    <w:rsid w:val="771D0DDF"/>
    <w:rsid w:val="77387FCF"/>
    <w:rsid w:val="773A78A3"/>
    <w:rsid w:val="778546BA"/>
    <w:rsid w:val="77A30F61"/>
    <w:rsid w:val="77A7FEE4"/>
    <w:rsid w:val="77B77A2C"/>
    <w:rsid w:val="77E141C3"/>
    <w:rsid w:val="781F149D"/>
    <w:rsid w:val="7864384F"/>
    <w:rsid w:val="787D1066"/>
    <w:rsid w:val="78AC2A23"/>
    <w:rsid w:val="78CA10FB"/>
    <w:rsid w:val="78DE6030"/>
    <w:rsid w:val="79142376"/>
    <w:rsid w:val="794175E4"/>
    <w:rsid w:val="794C1B10"/>
    <w:rsid w:val="79660A0A"/>
    <w:rsid w:val="799F37C7"/>
    <w:rsid w:val="79B685A6"/>
    <w:rsid w:val="79E3794A"/>
    <w:rsid w:val="7A0F4D73"/>
    <w:rsid w:val="7A134306"/>
    <w:rsid w:val="7A1D786D"/>
    <w:rsid w:val="7A2C2BCE"/>
    <w:rsid w:val="7A30429C"/>
    <w:rsid w:val="7A5A025C"/>
    <w:rsid w:val="7A680BCB"/>
    <w:rsid w:val="7A85177D"/>
    <w:rsid w:val="7AA240DD"/>
    <w:rsid w:val="7ACA53E2"/>
    <w:rsid w:val="7AD32853"/>
    <w:rsid w:val="7B105EC0"/>
    <w:rsid w:val="7B8732D3"/>
    <w:rsid w:val="7B8C0341"/>
    <w:rsid w:val="7B9559F0"/>
    <w:rsid w:val="7BB045D8"/>
    <w:rsid w:val="7BC62CA3"/>
    <w:rsid w:val="7BD6750C"/>
    <w:rsid w:val="7BDC53CD"/>
    <w:rsid w:val="7BE73B52"/>
    <w:rsid w:val="7BEB1AB4"/>
    <w:rsid w:val="7BF546E1"/>
    <w:rsid w:val="7C6C7CDD"/>
    <w:rsid w:val="7C75184C"/>
    <w:rsid w:val="7C9C2DAE"/>
    <w:rsid w:val="7CA67E0E"/>
    <w:rsid w:val="7D197F5B"/>
    <w:rsid w:val="7D31799A"/>
    <w:rsid w:val="7D715BF1"/>
    <w:rsid w:val="7D7247C9"/>
    <w:rsid w:val="7D8A0E59"/>
    <w:rsid w:val="7DC601E3"/>
    <w:rsid w:val="7E002187"/>
    <w:rsid w:val="7E7C2E71"/>
    <w:rsid w:val="7E8216C7"/>
    <w:rsid w:val="7E957AB5"/>
    <w:rsid w:val="7EC246B4"/>
    <w:rsid w:val="7ED9431E"/>
    <w:rsid w:val="7EF742CC"/>
    <w:rsid w:val="7EFC5DCD"/>
    <w:rsid w:val="7F3B240A"/>
    <w:rsid w:val="7F9337DC"/>
    <w:rsid w:val="7F9DC42C"/>
    <w:rsid w:val="7F9F42AF"/>
    <w:rsid w:val="7FA52E58"/>
    <w:rsid w:val="7FDF723A"/>
    <w:rsid w:val="7FF30F37"/>
    <w:rsid w:val="7FF570E6"/>
    <w:rsid w:val="BA5F39BA"/>
    <w:rsid w:val="BABEAE8D"/>
    <w:rsid w:val="BEFD25A1"/>
    <w:rsid w:val="CDFF2766"/>
    <w:rsid w:val="D76FE2CC"/>
    <w:rsid w:val="EF7B3B58"/>
    <w:rsid w:val="FDEEEB2D"/>
    <w:rsid w:val="FDFE9B12"/>
    <w:rsid w:val="FFFF2959"/>
    <w:rsid w:val="FFFFD9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5"/>
    <w:qFormat/>
    <w:uiPriority w:val="9"/>
    <w:pPr>
      <w:keepNext/>
      <w:keepLines/>
      <w:spacing w:before="340" w:after="330" w:line="578" w:lineRule="auto"/>
      <w:outlineLvl w:val="0"/>
    </w:pPr>
    <w:rPr>
      <w:b/>
      <w:bCs/>
      <w:kern w:val="44"/>
      <w:sz w:val="44"/>
      <w:szCs w:val="4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99"/>
    <w:pPr>
      <w:ind w:left="1600" w:leftChars="1600"/>
    </w:pPr>
  </w:style>
  <w:style w:type="paragraph" w:styleId="4">
    <w:name w:val="table of authorities"/>
    <w:basedOn w:val="1"/>
    <w:next w:val="1"/>
    <w:qFormat/>
    <w:uiPriority w:val="99"/>
    <w:pPr>
      <w:ind w:left="420" w:leftChars="200"/>
    </w:pPr>
  </w:style>
  <w:style w:type="paragraph" w:styleId="5">
    <w:name w:val="Normal Indent"/>
    <w:basedOn w:val="1"/>
    <w:qFormat/>
    <w:uiPriority w:val="0"/>
    <w:pPr>
      <w:ind w:firstLine="420"/>
    </w:pPr>
    <w:rPr>
      <w:szCs w:val="21"/>
    </w:rPr>
  </w:style>
  <w:style w:type="paragraph" w:styleId="6">
    <w:name w:val="annotation text"/>
    <w:basedOn w:val="1"/>
    <w:link w:val="26"/>
    <w:unhideWhenUsed/>
    <w:qFormat/>
    <w:uiPriority w:val="99"/>
    <w:pPr>
      <w:jc w:val="left"/>
    </w:pPr>
  </w:style>
  <w:style w:type="paragraph" w:styleId="7">
    <w:name w:val="Body Text"/>
    <w:basedOn w:val="1"/>
    <w:qFormat/>
    <w:uiPriority w:val="1"/>
    <w:pPr>
      <w:spacing w:before="48"/>
      <w:ind w:left="111"/>
    </w:pPr>
    <w:rPr>
      <w:rFonts w:ascii="仿宋" w:hAnsi="仿宋" w:eastAsia="仿宋"/>
      <w:sz w:val="32"/>
      <w:szCs w:val="32"/>
    </w:rPr>
  </w:style>
  <w:style w:type="paragraph" w:styleId="8">
    <w:name w:val="Body Text Indent 2"/>
    <w:basedOn w:val="1"/>
    <w:qFormat/>
    <w:uiPriority w:val="0"/>
    <w:pPr>
      <w:spacing w:after="120" w:line="480" w:lineRule="auto"/>
      <w:ind w:left="420" w:leftChars="200"/>
    </w:pPr>
    <w:rPr>
      <w:szCs w:val="21"/>
    </w:rPr>
  </w:style>
  <w:style w:type="paragraph" w:styleId="9">
    <w:name w:val="Balloon Text"/>
    <w:basedOn w:val="1"/>
    <w:link w:val="27"/>
    <w:unhideWhenUsed/>
    <w:qFormat/>
    <w:uiPriority w:val="99"/>
    <w:rPr>
      <w:sz w:val="18"/>
      <w:szCs w:val="18"/>
    </w:rPr>
  </w:style>
  <w:style w:type="paragraph" w:styleId="10">
    <w:name w:val="footer"/>
    <w:basedOn w:val="1"/>
    <w:link w:val="28"/>
    <w:unhideWhenUsed/>
    <w:qFormat/>
    <w:uiPriority w:val="99"/>
    <w:pPr>
      <w:tabs>
        <w:tab w:val="center" w:pos="4153"/>
        <w:tab w:val="right" w:pos="8306"/>
      </w:tabs>
      <w:snapToGrid w:val="0"/>
      <w:jc w:val="left"/>
    </w:pPr>
    <w:rPr>
      <w:sz w:val="18"/>
      <w:szCs w:val="18"/>
    </w:rPr>
  </w:style>
  <w:style w:type="paragraph" w:styleId="11">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style>
  <w:style w:type="paragraph" w:styleId="13">
    <w:name w:val="footnote text"/>
    <w:basedOn w:val="1"/>
    <w:unhideWhenUsed/>
    <w:qFormat/>
    <w:uiPriority w:val="99"/>
    <w:pPr>
      <w:snapToGrid w:val="0"/>
      <w:jc w:val="left"/>
    </w:pPr>
    <w:rPr>
      <w:sz w:val="18"/>
    </w:rPr>
  </w:style>
  <w:style w:type="paragraph" w:styleId="14">
    <w:name w:val="toc 2"/>
    <w:basedOn w:val="1"/>
    <w:next w:val="1"/>
    <w:unhideWhenUsed/>
    <w:qFormat/>
    <w:uiPriority w:val="39"/>
    <w:pPr>
      <w:ind w:left="420" w:leftChars="200"/>
    </w:p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annotation subject"/>
    <w:basedOn w:val="6"/>
    <w:next w:val="6"/>
    <w:link w:val="30"/>
    <w:unhideWhenUsed/>
    <w:qFormat/>
    <w:uiPriority w:val="99"/>
    <w:rPr>
      <w:b/>
      <w:bCs/>
    </w:rPr>
  </w:style>
  <w:style w:type="paragraph" w:styleId="17">
    <w:name w:val="Body Text First Indent"/>
    <w:basedOn w:val="7"/>
    <w:qFormat/>
    <w:uiPriority w:val="0"/>
    <w:pPr>
      <w:ind w:firstLine="420" w:firstLineChars="100"/>
    </w:p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qFormat/>
    <w:uiPriority w:val="0"/>
  </w:style>
  <w:style w:type="character" w:styleId="22">
    <w:name w:val="Hyperlink"/>
    <w:unhideWhenUsed/>
    <w:qFormat/>
    <w:uiPriority w:val="99"/>
    <w:rPr>
      <w:color w:val="0000FF"/>
      <w:u w:val="single"/>
    </w:rPr>
  </w:style>
  <w:style w:type="character" w:styleId="23">
    <w:name w:val="annotation reference"/>
    <w:unhideWhenUsed/>
    <w:qFormat/>
    <w:uiPriority w:val="99"/>
    <w:rPr>
      <w:sz w:val="21"/>
      <w:szCs w:val="21"/>
    </w:rPr>
  </w:style>
  <w:style w:type="character" w:styleId="24">
    <w:name w:val="footnote reference"/>
    <w:basedOn w:val="20"/>
    <w:unhideWhenUsed/>
    <w:qFormat/>
    <w:uiPriority w:val="99"/>
    <w:rPr>
      <w:vertAlign w:val="superscript"/>
    </w:rPr>
  </w:style>
  <w:style w:type="character" w:customStyle="1" w:styleId="25">
    <w:name w:val="标题 1 Char"/>
    <w:link w:val="3"/>
    <w:qFormat/>
    <w:uiPriority w:val="9"/>
    <w:rPr>
      <w:b/>
      <w:bCs/>
      <w:kern w:val="44"/>
      <w:sz w:val="44"/>
      <w:szCs w:val="44"/>
    </w:rPr>
  </w:style>
  <w:style w:type="character" w:customStyle="1" w:styleId="26">
    <w:name w:val="批注文字 Char"/>
    <w:link w:val="6"/>
    <w:qFormat/>
    <w:uiPriority w:val="99"/>
    <w:rPr>
      <w:kern w:val="2"/>
      <w:sz w:val="21"/>
      <w:szCs w:val="22"/>
    </w:rPr>
  </w:style>
  <w:style w:type="character" w:customStyle="1" w:styleId="27">
    <w:name w:val="批注框文本 Char"/>
    <w:link w:val="9"/>
    <w:semiHidden/>
    <w:qFormat/>
    <w:uiPriority w:val="99"/>
    <w:rPr>
      <w:kern w:val="2"/>
      <w:sz w:val="18"/>
      <w:szCs w:val="18"/>
    </w:rPr>
  </w:style>
  <w:style w:type="character" w:customStyle="1" w:styleId="28">
    <w:name w:val="页脚 Char"/>
    <w:link w:val="10"/>
    <w:qFormat/>
    <w:uiPriority w:val="99"/>
    <w:rPr>
      <w:kern w:val="2"/>
      <w:sz w:val="18"/>
      <w:szCs w:val="18"/>
    </w:rPr>
  </w:style>
  <w:style w:type="character" w:customStyle="1" w:styleId="29">
    <w:name w:val="页眉 Char"/>
    <w:link w:val="11"/>
    <w:qFormat/>
    <w:uiPriority w:val="99"/>
    <w:rPr>
      <w:kern w:val="2"/>
      <w:sz w:val="18"/>
      <w:szCs w:val="18"/>
    </w:rPr>
  </w:style>
  <w:style w:type="character" w:customStyle="1" w:styleId="30">
    <w:name w:val="批注主题 Char"/>
    <w:link w:val="16"/>
    <w:qFormat/>
    <w:uiPriority w:val="0"/>
  </w:style>
  <w:style w:type="character" w:customStyle="1" w:styleId="31">
    <w:name w:val="font11"/>
    <w:qFormat/>
    <w:uiPriority w:val="0"/>
    <w:rPr>
      <w:rFonts w:hint="eastAsia" w:ascii="宋体" w:hAnsi="宋体" w:eastAsia="宋体" w:cs="宋体"/>
      <w:color w:val="000000"/>
      <w:sz w:val="18"/>
      <w:szCs w:val="18"/>
      <w:u w:val="none"/>
    </w:rPr>
  </w:style>
  <w:style w:type="character" w:customStyle="1" w:styleId="32">
    <w:name w:val="font31"/>
    <w:qFormat/>
    <w:uiPriority w:val="0"/>
    <w:rPr>
      <w:rFonts w:hint="eastAsia" w:ascii="宋体" w:hAnsi="宋体" w:eastAsia="宋体" w:cs="宋体"/>
      <w:color w:val="000000"/>
      <w:sz w:val="18"/>
      <w:szCs w:val="18"/>
      <w:u w:val="none"/>
    </w:rPr>
  </w:style>
  <w:style w:type="character" w:customStyle="1" w:styleId="33">
    <w:name w:val="font01"/>
    <w:qFormat/>
    <w:uiPriority w:val="0"/>
    <w:rPr>
      <w:rFonts w:hint="eastAsia" w:ascii="宋体" w:hAnsi="宋体" w:eastAsia="宋体" w:cs="宋体"/>
      <w:color w:val="000000"/>
      <w:sz w:val="18"/>
      <w:szCs w:val="18"/>
      <w:u w:val="none"/>
    </w:rPr>
  </w:style>
  <w:style w:type="character" w:customStyle="1" w:styleId="34">
    <w:name w:val="font21"/>
    <w:qFormat/>
    <w:uiPriority w:val="0"/>
    <w:rPr>
      <w:rFonts w:hint="eastAsia" w:ascii="宋体" w:hAnsi="宋体" w:eastAsia="宋体" w:cs="宋体"/>
      <w:b/>
      <w:color w:val="000000"/>
      <w:sz w:val="18"/>
      <w:szCs w:val="18"/>
      <w:u w:val="none"/>
    </w:rPr>
  </w:style>
  <w:style w:type="character" w:customStyle="1" w:styleId="35">
    <w:name w:val="font51"/>
    <w:qFormat/>
    <w:uiPriority w:val="0"/>
    <w:rPr>
      <w:rFonts w:hint="default" w:ascii="Times New Roman" w:hAnsi="Times New Roman" w:cs="Times New Roman"/>
      <w:color w:val="000000"/>
      <w:sz w:val="18"/>
      <w:szCs w:val="18"/>
      <w:u w:val="none"/>
    </w:rPr>
  </w:style>
  <w:style w:type="paragraph" w:customStyle="1" w:styleId="36">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3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8">
    <w:name w:val="列出段落1"/>
    <w:basedOn w:val="1"/>
    <w:qFormat/>
    <w:uiPriority w:val="0"/>
    <w:pPr>
      <w:ind w:firstLine="420" w:firstLineChars="200"/>
    </w:pPr>
  </w:style>
  <w:style w:type="paragraph" w:customStyle="1" w:styleId="39">
    <w:name w:val="WPSOffice手动目录 1"/>
    <w:qFormat/>
    <w:uiPriority w:val="0"/>
    <w:rPr>
      <w:rFonts w:ascii="Times New Roman" w:hAnsi="Times New Roman" w:eastAsia="宋体" w:cs="Times New Roman"/>
      <w:lang w:val="en-US" w:eastAsia="zh-CN" w:bidi="ar-SA"/>
    </w:rPr>
  </w:style>
  <w:style w:type="paragraph" w:customStyle="1" w:styleId="40">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1">
    <w:name w:val="表格"/>
    <w:basedOn w:val="1"/>
    <w:qFormat/>
    <w:uiPriority w:val="99"/>
    <w:pPr>
      <w:jc w:val="center"/>
    </w:pPr>
    <w:rPr>
      <w:rFonts w:ascii="Verdana" w:hAnsi="Verdana" w:eastAsia="仿宋_GB2312" w:cs="Verdana"/>
      <w:kern w:val="0"/>
      <w:szCs w:val="21"/>
      <w:lang w:eastAsia="en-US"/>
    </w:rPr>
  </w:style>
  <w:style w:type="character" w:customStyle="1" w:styleId="42">
    <w:name w:val="font41"/>
    <w:basedOn w:val="20"/>
    <w:qFormat/>
    <w:uiPriority w:val="0"/>
    <w:rPr>
      <w:rFonts w:hint="eastAsia" w:ascii="宋体" w:hAnsi="宋体" w:eastAsia="宋体" w:cs="宋体"/>
      <w:b/>
      <w:bCs/>
      <w:color w:val="000000"/>
      <w:sz w:val="22"/>
      <w:szCs w:val="22"/>
      <w:u w:val="none"/>
    </w:rPr>
  </w:style>
  <w:style w:type="character" w:customStyle="1" w:styleId="43">
    <w:name w:val="font61"/>
    <w:basedOn w:val="20"/>
    <w:qFormat/>
    <w:uiPriority w:val="0"/>
    <w:rPr>
      <w:rFonts w:hint="eastAsia" w:ascii="宋体" w:hAnsi="宋体" w:eastAsia="宋体" w:cs="宋体"/>
      <w:color w:val="000000"/>
      <w:sz w:val="22"/>
      <w:szCs w:val="22"/>
      <w:u w:val="none"/>
    </w:rPr>
  </w:style>
  <w:style w:type="character" w:customStyle="1" w:styleId="44">
    <w:name w:val="font71"/>
    <w:basedOn w:val="2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1795</Words>
  <Characters>10236</Characters>
  <Lines>85</Lines>
  <Paragraphs>24</Paragraphs>
  <TotalTime>46</TotalTime>
  <ScaleCrop>false</ScaleCrop>
  <LinksUpToDate>false</LinksUpToDate>
  <CharactersWithSpaces>12007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2023-05-27T11:07:00Z</dcterms:created>
  <dc:creator>YJ</dc:creator>
  <cp:lastModifiedBy>ceshi</cp:lastModifiedBy>
  <cp:lastPrinted>2023-06-17T00:08:00Z</cp:lastPrinted>
  <dcterms:modified xsi:type="dcterms:W3CDTF">2023-08-16T14:52:59Z</dcterms:modified>
  <dc:title>北京市市级财政支出项目</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917B3AA8E1AF0A25285B80642F09A622_43</vt:lpwstr>
  </property>
</Properties>
</file>