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F4337">
      <w:pPr>
        <w:snapToGrid w:val="0"/>
        <w:spacing w:line="580" w:lineRule="exact"/>
        <w:ind w:firstLine="880" w:firstLineChars="200"/>
        <w:jc w:val="center"/>
        <w:textAlignment w:val="baseline"/>
        <w:rPr>
          <w:rFonts w:ascii="方正小标宋简体" w:hAnsi="方正小标宋简体" w:eastAsia="方正小标宋简体" w:cs="方正小标宋简体"/>
          <w:bCs/>
          <w:color w:val="000000"/>
          <w:kern w:val="16"/>
          <w:sz w:val="44"/>
          <w:szCs w:val="44"/>
        </w:rPr>
      </w:pPr>
    </w:p>
    <w:p w14:paraId="14B83119">
      <w:pPr>
        <w:pStyle w:val="3"/>
      </w:pPr>
    </w:p>
    <w:p w14:paraId="6C0FB60F">
      <w:pPr>
        <w:snapToGrid w:val="0"/>
        <w:jc w:val="center"/>
        <w:rPr>
          <w:rFonts w:ascii="方正小标宋简体" w:hAnsi="方正小标宋简体" w:eastAsia="方正小标宋简体" w:cs="方正小标宋简体"/>
          <w:sz w:val="44"/>
          <w:szCs w:val="44"/>
        </w:rPr>
      </w:pPr>
    </w:p>
    <w:p w14:paraId="34A4173F">
      <w:pPr>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北京市人民政府天安门地区管理委员会</w:t>
      </w:r>
    </w:p>
    <w:p w14:paraId="0DBFBF84">
      <w:pPr>
        <w:snapToGrid w:val="0"/>
        <w:spacing w:line="360" w:lineRule="auto"/>
        <w:jc w:val="center"/>
        <w:textAlignment w:val="baseline"/>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2023年度部门整体支出绩效评价报告</w:t>
      </w:r>
    </w:p>
    <w:p w14:paraId="02A35C41">
      <w:pPr>
        <w:snapToGrid w:val="0"/>
        <w:spacing w:line="360" w:lineRule="auto"/>
        <w:jc w:val="center"/>
        <w:textAlignment w:val="baseline"/>
        <w:rPr>
          <w:rFonts w:hint="eastAsia" w:ascii="方正仿宋_GBK" w:hAnsi="方正仿宋_GBK" w:eastAsia="方正仿宋_GBK" w:cs="方正仿宋_GBK"/>
          <w:bCs/>
          <w:kern w:val="0"/>
          <w:sz w:val="44"/>
          <w:szCs w:val="44"/>
          <w:lang w:eastAsia="zh-CN"/>
        </w:rPr>
      </w:pPr>
    </w:p>
    <w:p w14:paraId="1D85CF2B">
      <w:pPr>
        <w:spacing w:after="240" w:line="540" w:lineRule="exact"/>
        <w:jc w:val="center"/>
        <w:textAlignment w:val="baseline"/>
        <w:rPr>
          <w:b/>
          <w:bCs/>
          <w:spacing w:val="50"/>
          <w:sz w:val="32"/>
          <w:szCs w:val="32"/>
        </w:rPr>
      </w:pPr>
    </w:p>
    <w:p w14:paraId="07A9DB9F">
      <w:pPr>
        <w:snapToGrid w:val="0"/>
        <w:spacing w:after="312" w:line="300" w:lineRule="auto"/>
        <w:ind w:firstLine="723" w:firstLineChars="200"/>
        <w:textAlignment w:val="baseline"/>
        <w:rPr>
          <w:rFonts w:eastAsia="仿宋_GB2312"/>
          <w:b/>
          <w:bCs/>
          <w:sz w:val="36"/>
          <w:szCs w:val="20"/>
        </w:rPr>
      </w:pPr>
      <w:r>
        <w:rPr>
          <w:rFonts w:eastAsia="仿宋_GB2312"/>
          <w:b/>
          <w:bCs/>
          <w:sz w:val="36"/>
          <w:szCs w:val="20"/>
        </w:rPr>
        <w:t xml:space="preserve">  </w:t>
      </w:r>
    </w:p>
    <w:p w14:paraId="254FC684">
      <w:pPr>
        <w:widowControl/>
        <w:ind w:firstLine="512" w:firstLineChars="160"/>
        <w:jc w:val="left"/>
        <w:rPr>
          <w:rFonts w:eastAsia="仿宋_GB2312"/>
          <w:bCs/>
          <w:kern w:val="0"/>
          <w:sz w:val="32"/>
          <w:szCs w:val="32"/>
        </w:rPr>
      </w:pPr>
      <w:r>
        <w:rPr>
          <w:rFonts w:eastAsia="仿宋_GB2312"/>
          <w:bCs/>
          <w:kern w:val="0"/>
          <w:sz w:val="32"/>
          <w:szCs w:val="32"/>
        </w:rPr>
        <w:t xml:space="preserve"> </w:t>
      </w:r>
    </w:p>
    <w:p w14:paraId="344187D1">
      <w:pPr>
        <w:pStyle w:val="14"/>
        <w:rPr>
          <w:rFonts w:eastAsia="仿宋_GB2312"/>
          <w:bCs/>
          <w:kern w:val="0"/>
          <w:sz w:val="32"/>
          <w:szCs w:val="32"/>
        </w:rPr>
      </w:pPr>
    </w:p>
    <w:p w14:paraId="2620DD3B"/>
    <w:p w14:paraId="132EC137">
      <w:pPr>
        <w:spacing w:line="480" w:lineRule="auto"/>
        <w:jc w:val="center"/>
        <w:textAlignment w:val="baseline"/>
        <w:rPr>
          <w:rFonts w:eastAsia="黑体"/>
          <w:b/>
          <w:sz w:val="32"/>
          <w:szCs w:val="20"/>
        </w:rPr>
      </w:pPr>
    </w:p>
    <w:p w14:paraId="6FF59166"/>
    <w:p w14:paraId="1D93B4C9">
      <w:pPr>
        <w:pStyle w:val="8"/>
      </w:pPr>
    </w:p>
    <w:p w14:paraId="7D7E9C7C">
      <w:pPr>
        <w:pStyle w:val="8"/>
      </w:pPr>
    </w:p>
    <w:p w14:paraId="19D466D3">
      <w:pPr>
        <w:spacing w:line="480" w:lineRule="auto"/>
        <w:jc w:val="center"/>
        <w:textAlignment w:val="baseline"/>
        <w:rPr>
          <w:rFonts w:eastAsia="黑体"/>
          <w:b/>
          <w:sz w:val="32"/>
          <w:szCs w:val="20"/>
        </w:rPr>
      </w:pPr>
    </w:p>
    <w:p w14:paraId="493F9E0A">
      <w:pPr>
        <w:jc w:val="center"/>
        <w:textAlignment w:val="baseline"/>
        <w:rPr>
          <w:rFonts w:ascii="宋体" w:hAnsi="宋体" w:eastAsia="宋体" w:cs="宋体"/>
          <w:b/>
          <w:kern w:val="44"/>
          <w:sz w:val="32"/>
          <w:szCs w:val="32"/>
        </w:rPr>
      </w:pPr>
    </w:p>
    <w:p w14:paraId="69DB892E">
      <w:pPr>
        <w:jc w:val="center"/>
        <w:textAlignment w:val="baseline"/>
        <w:rPr>
          <w:rFonts w:ascii="宋体" w:hAnsi="宋体" w:eastAsia="宋体" w:cs="宋体"/>
          <w:b/>
          <w:kern w:val="44"/>
          <w:sz w:val="32"/>
          <w:szCs w:val="32"/>
        </w:rPr>
      </w:pPr>
    </w:p>
    <w:p w14:paraId="0D3ADE4D">
      <w:pPr>
        <w:rPr>
          <w:rFonts w:ascii="宋体" w:hAnsi="宋体" w:eastAsia="宋体" w:cs="宋体"/>
          <w:b/>
          <w:kern w:val="44"/>
          <w:sz w:val="32"/>
          <w:szCs w:val="32"/>
        </w:rPr>
        <w:sectPr>
          <w:pgSz w:w="11906" w:h="16838"/>
          <w:pgMar w:top="1701" w:right="1701" w:bottom="1701" w:left="1701" w:header="851" w:footer="992" w:gutter="0"/>
          <w:pgNumType w:start="1"/>
          <w:cols w:space="425" w:num="1"/>
          <w:docGrid w:type="lines" w:linePitch="312" w:charSpace="0"/>
        </w:sectPr>
      </w:pPr>
    </w:p>
    <w:sdt>
      <w:sdtPr>
        <w:rPr>
          <w:rFonts w:ascii="宋体" w:hAnsi="宋体" w:eastAsia="宋体"/>
          <w:b/>
          <w:bCs/>
          <w:sz w:val="44"/>
          <w:szCs w:val="44"/>
        </w:rPr>
        <w:id w:val="147451666"/>
        <w:docPartObj>
          <w:docPartGallery w:val="Table of Contents"/>
          <w:docPartUnique/>
        </w:docPartObj>
      </w:sdtPr>
      <w:sdtEndPr>
        <w:rPr>
          <w:rFonts w:asciiTheme="minorHAnsi" w:hAnsiTheme="minorHAnsi" w:eastAsiaTheme="minorEastAsia"/>
          <w:b/>
          <w:bCs/>
          <w:sz w:val="28"/>
          <w:szCs w:val="28"/>
        </w:rPr>
      </w:sdtEndPr>
      <w:sdtContent>
        <w:p w14:paraId="37535E7B">
          <w:pPr>
            <w:jc w:val="center"/>
            <w:textAlignment w:val="baseline"/>
            <w:rPr>
              <w:b/>
              <w:bCs/>
              <w:sz w:val="44"/>
              <w:szCs w:val="44"/>
            </w:rPr>
          </w:pPr>
          <w:r>
            <w:rPr>
              <w:rFonts w:ascii="宋体" w:hAnsi="宋体" w:eastAsia="宋体"/>
              <w:b/>
              <w:bCs/>
              <w:sz w:val="44"/>
              <w:szCs w:val="44"/>
            </w:rPr>
            <w:t>目</w:t>
          </w:r>
          <w:r>
            <w:rPr>
              <w:rFonts w:hint="eastAsia" w:ascii="宋体" w:hAnsi="宋体" w:eastAsia="宋体"/>
              <w:b/>
              <w:bCs/>
              <w:sz w:val="44"/>
              <w:szCs w:val="44"/>
            </w:rPr>
            <w:t xml:space="preserve">   </w:t>
          </w:r>
          <w:r>
            <w:rPr>
              <w:rFonts w:ascii="宋体" w:hAnsi="宋体" w:eastAsia="宋体"/>
              <w:b/>
              <w:bCs/>
              <w:sz w:val="44"/>
              <w:szCs w:val="44"/>
            </w:rPr>
            <w:t>录</w:t>
          </w:r>
        </w:p>
        <w:p w14:paraId="713C4B41">
          <w:pPr>
            <w:pStyle w:val="16"/>
            <w:tabs>
              <w:tab w:val="right" w:leader="dot" w:pos="8504"/>
            </w:tabs>
            <w:rPr>
              <w:sz w:val="28"/>
              <w:szCs w:val="32"/>
            </w:rPr>
          </w:pPr>
          <w:r>
            <w:rPr>
              <w:sz w:val="96"/>
              <w:szCs w:val="96"/>
            </w:rPr>
            <w:fldChar w:fldCharType="begin"/>
          </w:r>
          <w:r>
            <w:rPr>
              <w:sz w:val="96"/>
              <w:szCs w:val="96"/>
            </w:rPr>
            <w:instrText xml:space="preserve">TOC \o "1-2" \h \u </w:instrText>
          </w:r>
          <w:r>
            <w:rPr>
              <w:sz w:val="96"/>
              <w:szCs w:val="96"/>
            </w:rPr>
            <w:fldChar w:fldCharType="separate"/>
          </w:r>
          <w:r>
            <w:rPr>
              <w:sz w:val="28"/>
              <w:szCs w:val="96"/>
            </w:rPr>
            <w:fldChar w:fldCharType="begin"/>
          </w:r>
          <w:r>
            <w:rPr>
              <w:sz w:val="28"/>
              <w:szCs w:val="96"/>
            </w:rPr>
            <w:instrText xml:space="preserve"> HYPERLINK \l _Toc26467 </w:instrText>
          </w:r>
          <w:r>
            <w:rPr>
              <w:sz w:val="28"/>
              <w:szCs w:val="96"/>
            </w:rPr>
            <w:fldChar w:fldCharType="separate"/>
          </w:r>
          <w:r>
            <w:rPr>
              <w:rFonts w:hint="eastAsia" w:ascii="黑体" w:hAnsi="黑体" w:eastAsia="黑体"/>
              <w:sz w:val="28"/>
              <w:szCs w:val="44"/>
            </w:rPr>
            <w:t>一、部门概况</w:t>
          </w:r>
          <w:r>
            <w:rPr>
              <w:sz w:val="28"/>
              <w:szCs w:val="32"/>
            </w:rPr>
            <w:tab/>
          </w:r>
          <w:r>
            <w:rPr>
              <w:sz w:val="28"/>
              <w:szCs w:val="32"/>
            </w:rPr>
            <w:fldChar w:fldCharType="begin"/>
          </w:r>
          <w:r>
            <w:rPr>
              <w:sz w:val="28"/>
              <w:szCs w:val="32"/>
            </w:rPr>
            <w:instrText xml:space="preserve"> PAGEREF _Toc26467 \h </w:instrText>
          </w:r>
          <w:r>
            <w:rPr>
              <w:sz w:val="28"/>
              <w:szCs w:val="32"/>
            </w:rPr>
            <w:fldChar w:fldCharType="separate"/>
          </w:r>
          <w:r>
            <w:rPr>
              <w:sz w:val="28"/>
              <w:szCs w:val="32"/>
            </w:rPr>
            <w:t>1</w:t>
          </w:r>
          <w:r>
            <w:rPr>
              <w:sz w:val="28"/>
              <w:szCs w:val="32"/>
            </w:rPr>
            <w:fldChar w:fldCharType="end"/>
          </w:r>
          <w:r>
            <w:rPr>
              <w:sz w:val="28"/>
              <w:szCs w:val="96"/>
            </w:rPr>
            <w:fldChar w:fldCharType="end"/>
          </w:r>
        </w:p>
        <w:p w14:paraId="4F1D7446">
          <w:pPr>
            <w:pStyle w:val="18"/>
            <w:tabs>
              <w:tab w:val="right" w:leader="dot" w:pos="8504"/>
            </w:tabs>
            <w:rPr>
              <w:sz w:val="28"/>
              <w:szCs w:val="32"/>
            </w:rPr>
          </w:pPr>
          <w:r>
            <w:rPr>
              <w:sz w:val="28"/>
              <w:szCs w:val="96"/>
            </w:rPr>
            <w:fldChar w:fldCharType="begin"/>
          </w:r>
          <w:r>
            <w:rPr>
              <w:sz w:val="28"/>
              <w:szCs w:val="96"/>
            </w:rPr>
            <w:instrText xml:space="preserve"> HYPERLINK \l _Toc8540 </w:instrText>
          </w:r>
          <w:r>
            <w:rPr>
              <w:sz w:val="28"/>
              <w:szCs w:val="96"/>
            </w:rPr>
            <w:fldChar w:fldCharType="separate"/>
          </w:r>
          <w:r>
            <w:rPr>
              <w:rFonts w:hint="eastAsia" w:ascii="楷体_GB2312" w:eastAsia="楷体_GB2312"/>
              <w:bCs/>
              <w:sz w:val="28"/>
              <w:szCs w:val="44"/>
            </w:rPr>
            <w:t>（一）机构设置及职责工作任务情况</w:t>
          </w:r>
          <w:r>
            <w:rPr>
              <w:sz w:val="28"/>
              <w:szCs w:val="32"/>
            </w:rPr>
            <w:tab/>
          </w:r>
          <w:r>
            <w:rPr>
              <w:sz w:val="28"/>
              <w:szCs w:val="32"/>
            </w:rPr>
            <w:fldChar w:fldCharType="begin"/>
          </w:r>
          <w:r>
            <w:rPr>
              <w:sz w:val="28"/>
              <w:szCs w:val="32"/>
            </w:rPr>
            <w:instrText xml:space="preserve"> PAGEREF _Toc8540 \h </w:instrText>
          </w:r>
          <w:r>
            <w:rPr>
              <w:sz w:val="28"/>
              <w:szCs w:val="32"/>
            </w:rPr>
            <w:fldChar w:fldCharType="separate"/>
          </w:r>
          <w:r>
            <w:rPr>
              <w:sz w:val="28"/>
              <w:szCs w:val="32"/>
            </w:rPr>
            <w:t>1</w:t>
          </w:r>
          <w:r>
            <w:rPr>
              <w:sz w:val="28"/>
              <w:szCs w:val="32"/>
            </w:rPr>
            <w:fldChar w:fldCharType="end"/>
          </w:r>
          <w:r>
            <w:rPr>
              <w:sz w:val="28"/>
              <w:szCs w:val="96"/>
            </w:rPr>
            <w:fldChar w:fldCharType="end"/>
          </w:r>
        </w:p>
        <w:p w14:paraId="17F7AA85">
          <w:pPr>
            <w:pStyle w:val="18"/>
            <w:tabs>
              <w:tab w:val="right" w:leader="dot" w:pos="8504"/>
            </w:tabs>
            <w:rPr>
              <w:sz w:val="28"/>
              <w:szCs w:val="32"/>
            </w:rPr>
          </w:pPr>
          <w:r>
            <w:rPr>
              <w:sz w:val="28"/>
              <w:szCs w:val="96"/>
            </w:rPr>
            <w:fldChar w:fldCharType="begin"/>
          </w:r>
          <w:r>
            <w:rPr>
              <w:sz w:val="28"/>
              <w:szCs w:val="96"/>
            </w:rPr>
            <w:instrText xml:space="preserve"> HYPERLINK \l _Toc4712 </w:instrText>
          </w:r>
          <w:r>
            <w:rPr>
              <w:sz w:val="28"/>
              <w:szCs w:val="96"/>
            </w:rPr>
            <w:fldChar w:fldCharType="separate"/>
          </w:r>
          <w:r>
            <w:rPr>
              <w:rFonts w:hint="eastAsia" w:ascii="楷体_GB2312" w:eastAsia="楷体_GB2312"/>
              <w:bCs/>
              <w:sz w:val="28"/>
              <w:szCs w:val="44"/>
            </w:rPr>
            <w:t>（二）部门整体绩效目标设立情况</w:t>
          </w:r>
          <w:r>
            <w:rPr>
              <w:sz w:val="28"/>
              <w:szCs w:val="32"/>
            </w:rPr>
            <w:tab/>
          </w:r>
          <w:r>
            <w:rPr>
              <w:sz w:val="28"/>
              <w:szCs w:val="32"/>
            </w:rPr>
            <w:fldChar w:fldCharType="begin"/>
          </w:r>
          <w:r>
            <w:rPr>
              <w:sz w:val="28"/>
              <w:szCs w:val="32"/>
            </w:rPr>
            <w:instrText xml:space="preserve"> PAGEREF _Toc4712 \h </w:instrText>
          </w:r>
          <w:r>
            <w:rPr>
              <w:sz w:val="28"/>
              <w:szCs w:val="32"/>
            </w:rPr>
            <w:fldChar w:fldCharType="separate"/>
          </w:r>
          <w:r>
            <w:rPr>
              <w:sz w:val="28"/>
              <w:szCs w:val="32"/>
            </w:rPr>
            <w:t>2</w:t>
          </w:r>
          <w:r>
            <w:rPr>
              <w:sz w:val="28"/>
              <w:szCs w:val="32"/>
            </w:rPr>
            <w:fldChar w:fldCharType="end"/>
          </w:r>
          <w:r>
            <w:rPr>
              <w:sz w:val="28"/>
              <w:szCs w:val="96"/>
            </w:rPr>
            <w:fldChar w:fldCharType="end"/>
          </w:r>
        </w:p>
        <w:p w14:paraId="489E73D3">
          <w:pPr>
            <w:pStyle w:val="16"/>
            <w:tabs>
              <w:tab w:val="right" w:leader="dot" w:pos="8504"/>
            </w:tabs>
            <w:rPr>
              <w:sz w:val="28"/>
              <w:szCs w:val="32"/>
            </w:rPr>
          </w:pPr>
          <w:r>
            <w:rPr>
              <w:sz w:val="28"/>
              <w:szCs w:val="96"/>
            </w:rPr>
            <w:fldChar w:fldCharType="begin"/>
          </w:r>
          <w:r>
            <w:rPr>
              <w:sz w:val="28"/>
              <w:szCs w:val="96"/>
            </w:rPr>
            <w:instrText xml:space="preserve"> HYPERLINK \l _Toc21647 </w:instrText>
          </w:r>
          <w:r>
            <w:rPr>
              <w:sz w:val="28"/>
              <w:szCs w:val="96"/>
            </w:rPr>
            <w:fldChar w:fldCharType="separate"/>
          </w:r>
          <w:r>
            <w:rPr>
              <w:rFonts w:hint="eastAsia" w:ascii="黑体" w:hAnsi="黑体" w:eastAsia="黑体"/>
              <w:sz w:val="28"/>
              <w:szCs w:val="44"/>
            </w:rPr>
            <w:t>二、当年预算执行情况</w:t>
          </w:r>
          <w:r>
            <w:rPr>
              <w:sz w:val="28"/>
              <w:szCs w:val="32"/>
            </w:rPr>
            <w:tab/>
          </w:r>
          <w:r>
            <w:rPr>
              <w:sz w:val="28"/>
              <w:szCs w:val="32"/>
            </w:rPr>
            <w:fldChar w:fldCharType="begin"/>
          </w:r>
          <w:r>
            <w:rPr>
              <w:sz w:val="28"/>
              <w:szCs w:val="32"/>
            </w:rPr>
            <w:instrText xml:space="preserve"> PAGEREF _Toc21647 \h </w:instrText>
          </w:r>
          <w:r>
            <w:rPr>
              <w:sz w:val="28"/>
              <w:szCs w:val="32"/>
            </w:rPr>
            <w:fldChar w:fldCharType="separate"/>
          </w:r>
          <w:r>
            <w:rPr>
              <w:sz w:val="28"/>
              <w:szCs w:val="32"/>
            </w:rPr>
            <w:t>3</w:t>
          </w:r>
          <w:r>
            <w:rPr>
              <w:sz w:val="28"/>
              <w:szCs w:val="32"/>
            </w:rPr>
            <w:fldChar w:fldCharType="end"/>
          </w:r>
          <w:r>
            <w:rPr>
              <w:sz w:val="28"/>
              <w:szCs w:val="96"/>
            </w:rPr>
            <w:fldChar w:fldCharType="end"/>
          </w:r>
        </w:p>
        <w:p w14:paraId="6A6A5A0A">
          <w:pPr>
            <w:pStyle w:val="16"/>
            <w:tabs>
              <w:tab w:val="right" w:leader="dot" w:pos="8504"/>
            </w:tabs>
            <w:rPr>
              <w:sz w:val="28"/>
              <w:szCs w:val="32"/>
            </w:rPr>
          </w:pPr>
          <w:r>
            <w:rPr>
              <w:sz w:val="28"/>
              <w:szCs w:val="96"/>
            </w:rPr>
            <w:fldChar w:fldCharType="begin"/>
          </w:r>
          <w:r>
            <w:rPr>
              <w:sz w:val="28"/>
              <w:szCs w:val="96"/>
            </w:rPr>
            <w:instrText xml:space="preserve"> HYPERLINK \l _Toc14248 </w:instrText>
          </w:r>
          <w:r>
            <w:rPr>
              <w:sz w:val="28"/>
              <w:szCs w:val="96"/>
            </w:rPr>
            <w:fldChar w:fldCharType="separate"/>
          </w:r>
          <w:r>
            <w:rPr>
              <w:rFonts w:hint="eastAsia" w:ascii="黑体" w:hAnsi="黑体" w:eastAsia="黑体" w:cs="宋体"/>
              <w:kern w:val="0"/>
              <w:sz w:val="28"/>
              <w:szCs w:val="44"/>
            </w:rPr>
            <w:t>三</w:t>
          </w:r>
          <w:r>
            <w:rPr>
              <w:rFonts w:ascii="黑体" w:hAnsi="黑体" w:eastAsia="黑体" w:cs="宋体"/>
              <w:kern w:val="0"/>
              <w:sz w:val="28"/>
              <w:szCs w:val="44"/>
            </w:rPr>
            <w:t>、整体绩效目标实现情况</w:t>
          </w:r>
          <w:r>
            <w:rPr>
              <w:sz w:val="28"/>
              <w:szCs w:val="32"/>
            </w:rPr>
            <w:tab/>
          </w:r>
          <w:r>
            <w:rPr>
              <w:sz w:val="28"/>
              <w:szCs w:val="32"/>
            </w:rPr>
            <w:fldChar w:fldCharType="begin"/>
          </w:r>
          <w:r>
            <w:rPr>
              <w:sz w:val="28"/>
              <w:szCs w:val="32"/>
            </w:rPr>
            <w:instrText xml:space="preserve"> PAGEREF _Toc14248 \h </w:instrText>
          </w:r>
          <w:r>
            <w:rPr>
              <w:sz w:val="28"/>
              <w:szCs w:val="32"/>
            </w:rPr>
            <w:fldChar w:fldCharType="separate"/>
          </w:r>
          <w:r>
            <w:rPr>
              <w:sz w:val="28"/>
              <w:szCs w:val="32"/>
            </w:rPr>
            <w:t>3</w:t>
          </w:r>
          <w:r>
            <w:rPr>
              <w:sz w:val="28"/>
              <w:szCs w:val="32"/>
            </w:rPr>
            <w:fldChar w:fldCharType="end"/>
          </w:r>
          <w:r>
            <w:rPr>
              <w:sz w:val="28"/>
              <w:szCs w:val="96"/>
            </w:rPr>
            <w:fldChar w:fldCharType="end"/>
          </w:r>
        </w:p>
        <w:p w14:paraId="3BAE6488">
          <w:pPr>
            <w:pStyle w:val="18"/>
            <w:tabs>
              <w:tab w:val="right" w:leader="dot" w:pos="8504"/>
            </w:tabs>
            <w:rPr>
              <w:sz w:val="28"/>
              <w:szCs w:val="32"/>
            </w:rPr>
          </w:pPr>
          <w:r>
            <w:rPr>
              <w:sz w:val="28"/>
              <w:szCs w:val="96"/>
            </w:rPr>
            <w:fldChar w:fldCharType="begin"/>
          </w:r>
          <w:r>
            <w:rPr>
              <w:sz w:val="28"/>
              <w:szCs w:val="96"/>
            </w:rPr>
            <w:instrText xml:space="preserve"> HYPERLINK \l _Toc5478 </w:instrText>
          </w:r>
          <w:r>
            <w:rPr>
              <w:sz w:val="28"/>
              <w:szCs w:val="96"/>
            </w:rPr>
            <w:fldChar w:fldCharType="separate"/>
          </w:r>
          <w:r>
            <w:rPr>
              <w:rFonts w:hint="eastAsia" w:ascii="楷体_GB2312" w:eastAsia="楷体_GB2312"/>
              <w:bCs/>
              <w:sz w:val="28"/>
              <w:szCs w:val="44"/>
            </w:rPr>
            <w:t>（一）产出完成情况分析</w:t>
          </w:r>
          <w:r>
            <w:rPr>
              <w:sz w:val="28"/>
              <w:szCs w:val="32"/>
            </w:rPr>
            <w:tab/>
          </w:r>
          <w:r>
            <w:rPr>
              <w:sz w:val="28"/>
              <w:szCs w:val="32"/>
            </w:rPr>
            <w:fldChar w:fldCharType="begin"/>
          </w:r>
          <w:r>
            <w:rPr>
              <w:sz w:val="28"/>
              <w:szCs w:val="32"/>
            </w:rPr>
            <w:instrText xml:space="preserve"> PAGEREF _Toc5478 \h </w:instrText>
          </w:r>
          <w:r>
            <w:rPr>
              <w:sz w:val="28"/>
              <w:szCs w:val="32"/>
            </w:rPr>
            <w:fldChar w:fldCharType="separate"/>
          </w:r>
          <w:r>
            <w:rPr>
              <w:sz w:val="28"/>
              <w:szCs w:val="32"/>
            </w:rPr>
            <w:t>3</w:t>
          </w:r>
          <w:r>
            <w:rPr>
              <w:sz w:val="28"/>
              <w:szCs w:val="32"/>
            </w:rPr>
            <w:fldChar w:fldCharType="end"/>
          </w:r>
          <w:r>
            <w:rPr>
              <w:sz w:val="28"/>
              <w:szCs w:val="96"/>
            </w:rPr>
            <w:fldChar w:fldCharType="end"/>
          </w:r>
        </w:p>
        <w:p w14:paraId="1FFD32B5">
          <w:pPr>
            <w:pStyle w:val="18"/>
            <w:tabs>
              <w:tab w:val="right" w:leader="dot" w:pos="8504"/>
            </w:tabs>
            <w:rPr>
              <w:sz w:val="28"/>
              <w:szCs w:val="32"/>
            </w:rPr>
          </w:pPr>
          <w:r>
            <w:rPr>
              <w:sz w:val="28"/>
              <w:szCs w:val="96"/>
            </w:rPr>
            <w:fldChar w:fldCharType="begin"/>
          </w:r>
          <w:r>
            <w:rPr>
              <w:sz w:val="28"/>
              <w:szCs w:val="96"/>
            </w:rPr>
            <w:instrText xml:space="preserve"> HYPERLINK \l _Toc7170 </w:instrText>
          </w:r>
          <w:r>
            <w:rPr>
              <w:sz w:val="28"/>
              <w:szCs w:val="96"/>
            </w:rPr>
            <w:fldChar w:fldCharType="separate"/>
          </w:r>
          <w:r>
            <w:rPr>
              <w:rFonts w:hint="eastAsia" w:ascii="楷体_GB2312" w:eastAsia="楷体_GB2312"/>
              <w:bCs/>
              <w:sz w:val="28"/>
              <w:szCs w:val="44"/>
              <w:lang w:val="en-US" w:eastAsia="zh-CN"/>
            </w:rPr>
            <w:t>（二）效果实现情况分析</w:t>
          </w:r>
          <w:r>
            <w:rPr>
              <w:sz w:val="28"/>
              <w:szCs w:val="32"/>
            </w:rPr>
            <w:tab/>
          </w:r>
          <w:r>
            <w:rPr>
              <w:sz w:val="28"/>
              <w:szCs w:val="32"/>
            </w:rPr>
            <w:fldChar w:fldCharType="begin"/>
          </w:r>
          <w:r>
            <w:rPr>
              <w:sz w:val="28"/>
              <w:szCs w:val="32"/>
            </w:rPr>
            <w:instrText xml:space="preserve"> PAGEREF _Toc7170 \h </w:instrText>
          </w:r>
          <w:r>
            <w:rPr>
              <w:sz w:val="28"/>
              <w:szCs w:val="32"/>
            </w:rPr>
            <w:fldChar w:fldCharType="separate"/>
          </w:r>
          <w:r>
            <w:rPr>
              <w:sz w:val="28"/>
              <w:szCs w:val="32"/>
            </w:rPr>
            <w:t>7</w:t>
          </w:r>
          <w:r>
            <w:rPr>
              <w:sz w:val="28"/>
              <w:szCs w:val="32"/>
            </w:rPr>
            <w:fldChar w:fldCharType="end"/>
          </w:r>
          <w:r>
            <w:rPr>
              <w:sz w:val="28"/>
              <w:szCs w:val="96"/>
            </w:rPr>
            <w:fldChar w:fldCharType="end"/>
          </w:r>
        </w:p>
        <w:p w14:paraId="5298A57B">
          <w:pPr>
            <w:pStyle w:val="16"/>
            <w:tabs>
              <w:tab w:val="right" w:leader="dot" w:pos="8504"/>
            </w:tabs>
            <w:rPr>
              <w:sz w:val="28"/>
              <w:szCs w:val="32"/>
            </w:rPr>
          </w:pPr>
          <w:r>
            <w:rPr>
              <w:sz w:val="28"/>
              <w:szCs w:val="96"/>
            </w:rPr>
            <w:fldChar w:fldCharType="begin"/>
          </w:r>
          <w:r>
            <w:rPr>
              <w:sz w:val="28"/>
              <w:szCs w:val="96"/>
            </w:rPr>
            <w:instrText xml:space="preserve"> HYPERLINK \l _Toc18905 </w:instrText>
          </w:r>
          <w:r>
            <w:rPr>
              <w:sz w:val="28"/>
              <w:szCs w:val="96"/>
            </w:rPr>
            <w:fldChar w:fldCharType="separate"/>
          </w:r>
          <w:r>
            <w:rPr>
              <w:rFonts w:hint="eastAsia" w:ascii="黑体" w:hAnsi="黑体" w:eastAsia="黑体" w:cs="宋体"/>
              <w:kern w:val="0"/>
              <w:sz w:val="28"/>
              <w:szCs w:val="44"/>
            </w:rPr>
            <w:t>四、预算管理情况分析</w:t>
          </w:r>
          <w:r>
            <w:rPr>
              <w:sz w:val="28"/>
              <w:szCs w:val="32"/>
            </w:rPr>
            <w:tab/>
          </w:r>
          <w:r>
            <w:rPr>
              <w:sz w:val="28"/>
              <w:szCs w:val="32"/>
            </w:rPr>
            <w:fldChar w:fldCharType="begin"/>
          </w:r>
          <w:r>
            <w:rPr>
              <w:sz w:val="28"/>
              <w:szCs w:val="32"/>
            </w:rPr>
            <w:instrText xml:space="preserve"> PAGEREF _Toc18905 \h </w:instrText>
          </w:r>
          <w:r>
            <w:rPr>
              <w:sz w:val="28"/>
              <w:szCs w:val="32"/>
            </w:rPr>
            <w:fldChar w:fldCharType="separate"/>
          </w:r>
          <w:r>
            <w:rPr>
              <w:sz w:val="28"/>
              <w:szCs w:val="32"/>
            </w:rPr>
            <w:t>8</w:t>
          </w:r>
          <w:r>
            <w:rPr>
              <w:sz w:val="28"/>
              <w:szCs w:val="32"/>
            </w:rPr>
            <w:fldChar w:fldCharType="end"/>
          </w:r>
          <w:r>
            <w:rPr>
              <w:sz w:val="28"/>
              <w:szCs w:val="96"/>
            </w:rPr>
            <w:fldChar w:fldCharType="end"/>
          </w:r>
        </w:p>
        <w:p w14:paraId="50446693">
          <w:pPr>
            <w:pStyle w:val="18"/>
            <w:tabs>
              <w:tab w:val="right" w:leader="dot" w:pos="8504"/>
            </w:tabs>
            <w:rPr>
              <w:sz w:val="28"/>
              <w:szCs w:val="32"/>
            </w:rPr>
          </w:pPr>
          <w:r>
            <w:rPr>
              <w:sz w:val="28"/>
              <w:szCs w:val="96"/>
            </w:rPr>
            <w:fldChar w:fldCharType="begin"/>
          </w:r>
          <w:r>
            <w:rPr>
              <w:sz w:val="28"/>
              <w:szCs w:val="96"/>
            </w:rPr>
            <w:instrText xml:space="preserve"> HYPERLINK \l _Toc22463 </w:instrText>
          </w:r>
          <w:r>
            <w:rPr>
              <w:sz w:val="28"/>
              <w:szCs w:val="96"/>
            </w:rPr>
            <w:fldChar w:fldCharType="separate"/>
          </w:r>
          <w:r>
            <w:rPr>
              <w:rFonts w:hint="eastAsia" w:ascii="楷体_GB2312" w:eastAsia="楷体_GB2312"/>
              <w:bCs/>
              <w:sz w:val="28"/>
              <w:szCs w:val="44"/>
            </w:rPr>
            <w:t>（一）财务管理</w:t>
          </w:r>
          <w:r>
            <w:rPr>
              <w:sz w:val="28"/>
              <w:szCs w:val="32"/>
            </w:rPr>
            <w:tab/>
          </w:r>
          <w:r>
            <w:rPr>
              <w:sz w:val="28"/>
              <w:szCs w:val="32"/>
            </w:rPr>
            <w:fldChar w:fldCharType="begin"/>
          </w:r>
          <w:r>
            <w:rPr>
              <w:sz w:val="28"/>
              <w:szCs w:val="32"/>
            </w:rPr>
            <w:instrText xml:space="preserve"> PAGEREF _Toc22463 \h </w:instrText>
          </w:r>
          <w:r>
            <w:rPr>
              <w:sz w:val="28"/>
              <w:szCs w:val="32"/>
            </w:rPr>
            <w:fldChar w:fldCharType="separate"/>
          </w:r>
          <w:r>
            <w:rPr>
              <w:sz w:val="28"/>
              <w:szCs w:val="32"/>
            </w:rPr>
            <w:t>8</w:t>
          </w:r>
          <w:r>
            <w:rPr>
              <w:sz w:val="28"/>
              <w:szCs w:val="32"/>
            </w:rPr>
            <w:fldChar w:fldCharType="end"/>
          </w:r>
          <w:r>
            <w:rPr>
              <w:sz w:val="28"/>
              <w:szCs w:val="96"/>
            </w:rPr>
            <w:fldChar w:fldCharType="end"/>
          </w:r>
        </w:p>
        <w:p w14:paraId="14CDF081">
          <w:pPr>
            <w:pStyle w:val="18"/>
            <w:tabs>
              <w:tab w:val="right" w:leader="dot" w:pos="8504"/>
            </w:tabs>
            <w:rPr>
              <w:sz w:val="28"/>
              <w:szCs w:val="32"/>
            </w:rPr>
          </w:pPr>
          <w:r>
            <w:rPr>
              <w:sz w:val="28"/>
              <w:szCs w:val="96"/>
            </w:rPr>
            <w:fldChar w:fldCharType="begin"/>
          </w:r>
          <w:r>
            <w:rPr>
              <w:sz w:val="28"/>
              <w:szCs w:val="96"/>
            </w:rPr>
            <w:instrText xml:space="preserve"> HYPERLINK \l _Toc4733 </w:instrText>
          </w:r>
          <w:r>
            <w:rPr>
              <w:sz w:val="28"/>
              <w:szCs w:val="96"/>
            </w:rPr>
            <w:fldChar w:fldCharType="separate"/>
          </w:r>
          <w:r>
            <w:rPr>
              <w:rFonts w:hint="eastAsia" w:ascii="楷体_GB2312" w:eastAsia="楷体_GB2312"/>
              <w:sz w:val="28"/>
              <w:szCs w:val="44"/>
            </w:rPr>
            <w:t>（二）资产管理</w:t>
          </w:r>
          <w:r>
            <w:rPr>
              <w:sz w:val="28"/>
              <w:szCs w:val="32"/>
            </w:rPr>
            <w:tab/>
          </w:r>
          <w:r>
            <w:rPr>
              <w:sz w:val="28"/>
              <w:szCs w:val="32"/>
            </w:rPr>
            <w:fldChar w:fldCharType="begin"/>
          </w:r>
          <w:r>
            <w:rPr>
              <w:sz w:val="28"/>
              <w:szCs w:val="32"/>
            </w:rPr>
            <w:instrText xml:space="preserve"> PAGEREF _Toc4733 \h </w:instrText>
          </w:r>
          <w:r>
            <w:rPr>
              <w:sz w:val="28"/>
              <w:szCs w:val="32"/>
            </w:rPr>
            <w:fldChar w:fldCharType="separate"/>
          </w:r>
          <w:r>
            <w:rPr>
              <w:sz w:val="28"/>
              <w:szCs w:val="32"/>
            </w:rPr>
            <w:t>9</w:t>
          </w:r>
          <w:r>
            <w:rPr>
              <w:sz w:val="28"/>
              <w:szCs w:val="32"/>
            </w:rPr>
            <w:fldChar w:fldCharType="end"/>
          </w:r>
          <w:r>
            <w:rPr>
              <w:sz w:val="28"/>
              <w:szCs w:val="96"/>
            </w:rPr>
            <w:fldChar w:fldCharType="end"/>
          </w:r>
        </w:p>
        <w:p w14:paraId="177311B7">
          <w:pPr>
            <w:pStyle w:val="18"/>
            <w:tabs>
              <w:tab w:val="right" w:leader="dot" w:pos="8504"/>
            </w:tabs>
            <w:rPr>
              <w:sz w:val="28"/>
              <w:szCs w:val="32"/>
            </w:rPr>
          </w:pPr>
          <w:r>
            <w:rPr>
              <w:sz w:val="28"/>
              <w:szCs w:val="96"/>
            </w:rPr>
            <w:fldChar w:fldCharType="begin"/>
          </w:r>
          <w:r>
            <w:rPr>
              <w:sz w:val="28"/>
              <w:szCs w:val="96"/>
            </w:rPr>
            <w:instrText xml:space="preserve"> HYPERLINK \l _Toc29923 </w:instrText>
          </w:r>
          <w:r>
            <w:rPr>
              <w:sz w:val="28"/>
              <w:szCs w:val="96"/>
            </w:rPr>
            <w:fldChar w:fldCharType="separate"/>
          </w:r>
          <w:r>
            <w:rPr>
              <w:rFonts w:hint="eastAsia" w:ascii="楷体_GB2312" w:eastAsia="楷体_GB2312"/>
              <w:bCs/>
              <w:sz w:val="28"/>
              <w:szCs w:val="44"/>
            </w:rPr>
            <w:t>（三）绩效管理</w:t>
          </w:r>
          <w:r>
            <w:rPr>
              <w:sz w:val="28"/>
              <w:szCs w:val="32"/>
            </w:rPr>
            <w:tab/>
          </w:r>
          <w:r>
            <w:rPr>
              <w:sz w:val="28"/>
              <w:szCs w:val="32"/>
            </w:rPr>
            <w:fldChar w:fldCharType="begin"/>
          </w:r>
          <w:r>
            <w:rPr>
              <w:sz w:val="28"/>
              <w:szCs w:val="32"/>
            </w:rPr>
            <w:instrText xml:space="preserve"> PAGEREF _Toc29923 \h </w:instrText>
          </w:r>
          <w:r>
            <w:rPr>
              <w:sz w:val="28"/>
              <w:szCs w:val="32"/>
            </w:rPr>
            <w:fldChar w:fldCharType="separate"/>
          </w:r>
          <w:r>
            <w:rPr>
              <w:sz w:val="28"/>
              <w:szCs w:val="32"/>
            </w:rPr>
            <w:t>10</w:t>
          </w:r>
          <w:r>
            <w:rPr>
              <w:sz w:val="28"/>
              <w:szCs w:val="32"/>
            </w:rPr>
            <w:fldChar w:fldCharType="end"/>
          </w:r>
          <w:r>
            <w:rPr>
              <w:sz w:val="28"/>
              <w:szCs w:val="96"/>
            </w:rPr>
            <w:fldChar w:fldCharType="end"/>
          </w:r>
        </w:p>
        <w:p w14:paraId="4B4A1B8E">
          <w:pPr>
            <w:pStyle w:val="18"/>
            <w:tabs>
              <w:tab w:val="right" w:leader="dot" w:pos="8504"/>
            </w:tabs>
            <w:rPr>
              <w:sz w:val="28"/>
              <w:szCs w:val="32"/>
            </w:rPr>
          </w:pPr>
          <w:r>
            <w:rPr>
              <w:sz w:val="28"/>
              <w:szCs w:val="96"/>
            </w:rPr>
            <w:fldChar w:fldCharType="begin"/>
          </w:r>
          <w:r>
            <w:rPr>
              <w:sz w:val="28"/>
              <w:szCs w:val="96"/>
            </w:rPr>
            <w:instrText xml:space="preserve"> HYPERLINK \l _Toc5627 </w:instrText>
          </w:r>
          <w:r>
            <w:rPr>
              <w:sz w:val="28"/>
              <w:szCs w:val="96"/>
            </w:rPr>
            <w:fldChar w:fldCharType="separate"/>
          </w:r>
          <w:r>
            <w:rPr>
              <w:rFonts w:hint="eastAsia" w:ascii="楷体_GB2312" w:eastAsia="楷体_GB2312"/>
              <w:bCs/>
              <w:sz w:val="28"/>
              <w:szCs w:val="44"/>
            </w:rPr>
            <w:t>（四）结转结余率</w:t>
          </w:r>
          <w:r>
            <w:rPr>
              <w:sz w:val="28"/>
              <w:szCs w:val="32"/>
            </w:rPr>
            <w:tab/>
          </w:r>
          <w:r>
            <w:rPr>
              <w:sz w:val="28"/>
              <w:szCs w:val="32"/>
            </w:rPr>
            <w:fldChar w:fldCharType="begin"/>
          </w:r>
          <w:r>
            <w:rPr>
              <w:sz w:val="28"/>
              <w:szCs w:val="32"/>
            </w:rPr>
            <w:instrText xml:space="preserve"> PAGEREF _Toc5627 \h </w:instrText>
          </w:r>
          <w:r>
            <w:rPr>
              <w:sz w:val="28"/>
              <w:szCs w:val="32"/>
            </w:rPr>
            <w:fldChar w:fldCharType="separate"/>
          </w:r>
          <w:r>
            <w:rPr>
              <w:sz w:val="28"/>
              <w:szCs w:val="32"/>
            </w:rPr>
            <w:t>11</w:t>
          </w:r>
          <w:r>
            <w:rPr>
              <w:sz w:val="28"/>
              <w:szCs w:val="32"/>
            </w:rPr>
            <w:fldChar w:fldCharType="end"/>
          </w:r>
          <w:r>
            <w:rPr>
              <w:sz w:val="28"/>
              <w:szCs w:val="96"/>
            </w:rPr>
            <w:fldChar w:fldCharType="end"/>
          </w:r>
        </w:p>
        <w:p w14:paraId="186BFAC4">
          <w:pPr>
            <w:pStyle w:val="18"/>
            <w:tabs>
              <w:tab w:val="right" w:leader="dot" w:pos="8504"/>
            </w:tabs>
            <w:rPr>
              <w:sz w:val="28"/>
              <w:szCs w:val="32"/>
            </w:rPr>
          </w:pPr>
          <w:r>
            <w:rPr>
              <w:sz w:val="28"/>
              <w:szCs w:val="96"/>
            </w:rPr>
            <w:fldChar w:fldCharType="begin"/>
          </w:r>
          <w:r>
            <w:rPr>
              <w:sz w:val="28"/>
              <w:szCs w:val="96"/>
            </w:rPr>
            <w:instrText xml:space="preserve"> HYPERLINK \l _Toc6473 </w:instrText>
          </w:r>
          <w:r>
            <w:rPr>
              <w:sz w:val="28"/>
              <w:szCs w:val="96"/>
            </w:rPr>
            <w:fldChar w:fldCharType="separate"/>
          </w:r>
          <w:r>
            <w:rPr>
              <w:rFonts w:hint="eastAsia" w:ascii="楷体_GB2312" w:eastAsia="楷体_GB2312"/>
              <w:bCs/>
              <w:sz w:val="28"/>
              <w:szCs w:val="44"/>
            </w:rPr>
            <w:t>（五）部门预决算差异率</w:t>
          </w:r>
          <w:r>
            <w:rPr>
              <w:sz w:val="28"/>
              <w:szCs w:val="32"/>
            </w:rPr>
            <w:tab/>
          </w:r>
          <w:r>
            <w:rPr>
              <w:sz w:val="28"/>
              <w:szCs w:val="32"/>
            </w:rPr>
            <w:fldChar w:fldCharType="begin"/>
          </w:r>
          <w:r>
            <w:rPr>
              <w:sz w:val="28"/>
              <w:szCs w:val="32"/>
            </w:rPr>
            <w:instrText xml:space="preserve"> PAGEREF _Toc6473 \h </w:instrText>
          </w:r>
          <w:r>
            <w:rPr>
              <w:sz w:val="28"/>
              <w:szCs w:val="32"/>
            </w:rPr>
            <w:fldChar w:fldCharType="separate"/>
          </w:r>
          <w:r>
            <w:rPr>
              <w:sz w:val="28"/>
              <w:szCs w:val="32"/>
            </w:rPr>
            <w:t>12</w:t>
          </w:r>
          <w:r>
            <w:rPr>
              <w:sz w:val="28"/>
              <w:szCs w:val="32"/>
            </w:rPr>
            <w:fldChar w:fldCharType="end"/>
          </w:r>
          <w:r>
            <w:rPr>
              <w:sz w:val="28"/>
              <w:szCs w:val="96"/>
            </w:rPr>
            <w:fldChar w:fldCharType="end"/>
          </w:r>
        </w:p>
        <w:p w14:paraId="5CDE4542">
          <w:pPr>
            <w:pStyle w:val="16"/>
            <w:tabs>
              <w:tab w:val="right" w:leader="dot" w:pos="8504"/>
            </w:tabs>
            <w:rPr>
              <w:sz w:val="28"/>
              <w:szCs w:val="32"/>
            </w:rPr>
          </w:pPr>
          <w:r>
            <w:rPr>
              <w:sz w:val="28"/>
              <w:szCs w:val="96"/>
            </w:rPr>
            <w:fldChar w:fldCharType="begin"/>
          </w:r>
          <w:r>
            <w:rPr>
              <w:sz w:val="28"/>
              <w:szCs w:val="96"/>
            </w:rPr>
            <w:instrText xml:space="preserve"> HYPERLINK \l _Toc23888 </w:instrText>
          </w:r>
          <w:r>
            <w:rPr>
              <w:sz w:val="28"/>
              <w:szCs w:val="96"/>
            </w:rPr>
            <w:fldChar w:fldCharType="separate"/>
          </w:r>
          <w:r>
            <w:rPr>
              <w:rFonts w:hint="eastAsia" w:ascii="黑体" w:hAnsi="黑体" w:eastAsia="黑体" w:cs="宋体"/>
              <w:kern w:val="0"/>
              <w:sz w:val="28"/>
              <w:szCs w:val="44"/>
            </w:rPr>
            <w:t>五、总体评价结论</w:t>
          </w:r>
          <w:r>
            <w:rPr>
              <w:sz w:val="28"/>
              <w:szCs w:val="32"/>
            </w:rPr>
            <w:tab/>
          </w:r>
          <w:r>
            <w:rPr>
              <w:sz w:val="28"/>
              <w:szCs w:val="32"/>
            </w:rPr>
            <w:fldChar w:fldCharType="begin"/>
          </w:r>
          <w:r>
            <w:rPr>
              <w:sz w:val="28"/>
              <w:szCs w:val="32"/>
            </w:rPr>
            <w:instrText xml:space="preserve"> PAGEREF _Toc23888 \h </w:instrText>
          </w:r>
          <w:r>
            <w:rPr>
              <w:sz w:val="28"/>
              <w:szCs w:val="32"/>
            </w:rPr>
            <w:fldChar w:fldCharType="separate"/>
          </w:r>
          <w:r>
            <w:rPr>
              <w:sz w:val="28"/>
              <w:szCs w:val="32"/>
            </w:rPr>
            <w:t>12</w:t>
          </w:r>
          <w:r>
            <w:rPr>
              <w:sz w:val="28"/>
              <w:szCs w:val="32"/>
            </w:rPr>
            <w:fldChar w:fldCharType="end"/>
          </w:r>
          <w:r>
            <w:rPr>
              <w:sz w:val="28"/>
              <w:szCs w:val="96"/>
            </w:rPr>
            <w:fldChar w:fldCharType="end"/>
          </w:r>
        </w:p>
        <w:p w14:paraId="107E71D6">
          <w:pPr>
            <w:pStyle w:val="18"/>
            <w:tabs>
              <w:tab w:val="right" w:leader="dot" w:pos="8504"/>
            </w:tabs>
            <w:rPr>
              <w:sz w:val="28"/>
              <w:szCs w:val="32"/>
            </w:rPr>
          </w:pPr>
          <w:r>
            <w:rPr>
              <w:sz w:val="28"/>
              <w:szCs w:val="96"/>
            </w:rPr>
            <w:fldChar w:fldCharType="begin"/>
          </w:r>
          <w:r>
            <w:rPr>
              <w:sz w:val="28"/>
              <w:szCs w:val="96"/>
            </w:rPr>
            <w:instrText xml:space="preserve"> HYPERLINK \l _Toc25174 </w:instrText>
          </w:r>
          <w:r>
            <w:rPr>
              <w:sz w:val="28"/>
              <w:szCs w:val="96"/>
            </w:rPr>
            <w:fldChar w:fldCharType="separate"/>
          </w:r>
          <w:r>
            <w:rPr>
              <w:rFonts w:hint="eastAsia" w:ascii="楷体_GB2312" w:eastAsia="楷体_GB2312"/>
              <w:bCs/>
              <w:sz w:val="28"/>
              <w:szCs w:val="44"/>
            </w:rPr>
            <w:t>（一）评价得分情况</w:t>
          </w:r>
          <w:r>
            <w:rPr>
              <w:sz w:val="28"/>
              <w:szCs w:val="32"/>
            </w:rPr>
            <w:tab/>
          </w:r>
          <w:r>
            <w:rPr>
              <w:sz w:val="28"/>
              <w:szCs w:val="32"/>
            </w:rPr>
            <w:fldChar w:fldCharType="begin"/>
          </w:r>
          <w:r>
            <w:rPr>
              <w:sz w:val="28"/>
              <w:szCs w:val="32"/>
            </w:rPr>
            <w:instrText xml:space="preserve"> PAGEREF _Toc25174 \h </w:instrText>
          </w:r>
          <w:r>
            <w:rPr>
              <w:sz w:val="28"/>
              <w:szCs w:val="32"/>
            </w:rPr>
            <w:fldChar w:fldCharType="separate"/>
          </w:r>
          <w:r>
            <w:rPr>
              <w:sz w:val="28"/>
              <w:szCs w:val="32"/>
            </w:rPr>
            <w:t>12</w:t>
          </w:r>
          <w:r>
            <w:rPr>
              <w:sz w:val="28"/>
              <w:szCs w:val="32"/>
            </w:rPr>
            <w:fldChar w:fldCharType="end"/>
          </w:r>
          <w:r>
            <w:rPr>
              <w:sz w:val="28"/>
              <w:szCs w:val="96"/>
            </w:rPr>
            <w:fldChar w:fldCharType="end"/>
          </w:r>
        </w:p>
        <w:p w14:paraId="224F197E">
          <w:pPr>
            <w:pStyle w:val="18"/>
            <w:tabs>
              <w:tab w:val="right" w:leader="dot" w:pos="8504"/>
            </w:tabs>
            <w:rPr>
              <w:sz w:val="28"/>
              <w:szCs w:val="32"/>
            </w:rPr>
          </w:pPr>
          <w:r>
            <w:rPr>
              <w:sz w:val="28"/>
              <w:szCs w:val="96"/>
            </w:rPr>
            <w:fldChar w:fldCharType="begin"/>
          </w:r>
          <w:r>
            <w:rPr>
              <w:sz w:val="28"/>
              <w:szCs w:val="96"/>
            </w:rPr>
            <w:instrText xml:space="preserve"> HYPERLINK \l _Toc28453 </w:instrText>
          </w:r>
          <w:r>
            <w:rPr>
              <w:sz w:val="28"/>
              <w:szCs w:val="96"/>
            </w:rPr>
            <w:fldChar w:fldCharType="separate"/>
          </w:r>
          <w:r>
            <w:rPr>
              <w:rFonts w:hint="eastAsia" w:ascii="楷体_GB2312" w:eastAsia="楷体_GB2312"/>
              <w:bCs/>
              <w:sz w:val="28"/>
              <w:szCs w:val="44"/>
            </w:rPr>
            <w:t>（二）存在的问题及原因分析</w:t>
          </w:r>
          <w:r>
            <w:rPr>
              <w:sz w:val="28"/>
              <w:szCs w:val="32"/>
            </w:rPr>
            <w:tab/>
          </w:r>
          <w:r>
            <w:rPr>
              <w:sz w:val="28"/>
              <w:szCs w:val="32"/>
            </w:rPr>
            <w:fldChar w:fldCharType="begin"/>
          </w:r>
          <w:r>
            <w:rPr>
              <w:sz w:val="28"/>
              <w:szCs w:val="32"/>
            </w:rPr>
            <w:instrText xml:space="preserve"> PAGEREF _Toc28453 \h </w:instrText>
          </w:r>
          <w:r>
            <w:rPr>
              <w:sz w:val="28"/>
              <w:szCs w:val="32"/>
            </w:rPr>
            <w:fldChar w:fldCharType="separate"/>
          </w:r>
          <w:r>
            <w:rPr>
              <w:sz w:val="28"/>
              <w:szCs w:val="32"/>
            </w:rPr>
            <w:t>13</w:t>
          </w:r>
          <w:r>
            <w:rPr>
              <w:sz w:val="28"/>
              <w:szCs w:val="32"/>
            </w:rPr>
            <w:fldChar w:fldCharType="end"/>
          </w:r>
          <w:r>
            <w:rPr>
              <w:sz w:val="28"/>
              <w:szCs w:val="96"/>
            </w:rPr>
            <w:fldChar w:fldCharType="end"/>
          </w:r>
        </w:p>
        <w:p w14:paraId="0BB9CBC5">
          <w:pPr>
            <w:pStyle w:val="16"/>
            <w:tabs>
              <w:tab w:val="right" w:leader="dot" w:pos="8504"/>
            </w:tabs>
            <w:rPr>
              <w:sz w:val="28"/>
              <w:szCs w:val="32"/>
            </w:rPr>
          </w:pPr>
          <w:r>
            <w:rPr>
              <w:sz w:val="28"/>
              <w:szCs w:val="96"/>
            </w:rPr>
            <w:fldChar w:fldCharType="begin"/>
          </w:r>
          <w:r>
            <w:rPr>
              <w:sz w:val="28"/>
              <w:szCs w:val="96"/>
            </w:rPr>
            <w:instrText xml:space="preserve"> HYPERLINK \l _Toc1924 </w:instrText>
          </w:r>
          <w:r>
            <w:rPr>
              <w:sz w:val="28"/>
              <w:szCs w:val="96"/>
            </w:rPr>
            <w:fldChar w:fldCharType="separate"/>
          </w:r>
          <w:r>
            <w:rPr>
              <w:rFonts w:hint="eastAsia" w:ascii="黑体" w:hAnsi="黑体" w:eastAsia="黑体" w:cs="宋体"/>
              <w:kern w:val="0"/>
              <w:sz w:val="28"/>
              <w:szCs w:val="44"/>
            </w:rPr>
            <w:t>六、措施建议</w:t>
          </w:r>
          <w:r>
            <w:rPr>
              <w:sz w:val="28"/>
              <w:szCs w:val="32"/>
            </w:rPr>
            <w:tab/>
          </w:r>
          <w:r>
            <w:rPr>
              <w:sz w:val="28"/>
              <w:szCs w:val="32"/>
            </w:rPr>
            <w:fldChar w:fldCharType="begin"/>
          </w:r>
          <w:r>
            <w:rPr>
              <w:sz w:val="28"/>
              <w:szCs w:val="32"/>
            </w:rPr>
            <w:instrText xml:space="preserve"> PAGEREF _Toc1924 \h </w:instrText>
          </w:r>
          <w:r>
            <w:rPr>
              <w:sz w:val="28"/>
              <w:szCs w:val="32"/>
            </w:rPr>
            <w:fldChar w:fldCharType="separate"/>
          </w:r>
          <w:r>
            <w:rPr>
              <w:sz w:val="28"/>
              <w:szCs w:val="32"/>
            </w:rPr>
            <w:t>13</w:t>
          </w:r>
          <w:r>
            <w:rPr>
              <w:sz w:val="28"/>
              <w:szCs w:val="32"/>
            </w:rPr>
            <w:fldChar w:fldCharType="end"/>
          </w:r>
          <w:r>
            <w:rPr>
              <w:sz w:val="28"/>
              <w:szCs w:val="96"/>
            </w:rPr>
            <w:fldChar w:fldCharType="end"/>
          </w:r>
        </w:p>
        <w:p w14:paraId="129B08C2">
          <w:pPr>
            <w:pStyle w:val="16"/>
            <w:tabs>
              <w:tab w:val="right" w:leader="dot" w:pos="8504"/>
            </w:tabs>
            <w:rPr>
              <w:sz w:val="28"/>
              <w:szCs w:val="32"/>
            </w:rPr>
          </w:pPr>
          <w:r>
            <w:rPr>
              <w:sz w:val="28"/>
              <w:szCs w:val="96"/>
            </w:rPr>
            <w:fldChar w:fldCharType="begin"/>
          </w:r>
          <w:r>
            <w:rPr>
              <w:sz w:val="28"/>
              <w:szCs w:val="96"/>
            </w:rPr>
            <w:instrText xml:space="preserve"> HYPERLINK \l _Toc2743 </w:instrText>
          </w:r>
          <w:r>
            <w:rPr>
              <w:sz w:val="28"/>
              <w:szCs w:val="96"/>
            </w:rPr>
            <w:fldChar w:fldCharType="separate"/>
          </w:r>
          <w:r>
            <w:rPr>
              <w:rFonts w:hint="eastAsia" w:ascii="黑体" w:hAnsi="黑体" w:eastAsia="黑体" w:cs="宋体"/>
              <w:kern w:val="0"/>
              <w:sz w:val="28"/>
              <w:szCs w:val="44"/>
            </w:rPr>
            <w:t>七、附件</w:t>
          </w:r>
          <w:r>
            <w:rPr>
              <w:sz w:val="28"/>
              <w:szCs w:val="32"/>
            </w:rPr>
            <w:tab/>
          </w:r>
          <w:r>
            <w:rPr>
              <w:sz w:val="28"/>
              <w:szCs w:val="32"/>
            </w:rPr>
            <w:fldChar w:fldCharType="begin"/>
          </w:r>
          <w:r>
            <w:rPr>
              <w:sz w:val="28"/>
              <w:szCs w:val="32"/>
            </w:rPr>
            <w:instrText xml:space="preserve"> PAGEREF _Toc2743 \h </w:instrText>
          </w:r>
          <w:r>
            <w:rPr>
              <w:sz w:val="28"/>
              <w:szCs w:val="32"/>
            </w:rPr>
            <w:fldChar w:fldCharType="separate"/>
          </w:r>
          <w:r>
            <w:rPr>
              <w:sz w:val="28"/>
              <w:szCs w:val="32"/>
            </w:rPr>
            <w:t>14</w:t>
          </w:r>
          <w:r>
            <w:rPr>
              <w:sz w:val="28"/>
              <w:szCs w:val="32"/>
            </w:rPr>
            <w:fldChar w:fldCharType="end"/>
          </w:r>
          <w:r>
            <w:rPr>
              <w:sz w:val="28"/>
              <w:szCs w:val="96"/>
            </w:rPr>
            <w:fldChar w:fldCharType="end"/>
          </w:r>
        </w:p>
        <w:p w14:paraId="1268D805">
          <w:pPr>
            <w:pStyle w:val="17"/>
            <w:spacing w:line="360" w:lineRule="auto"/>
            <w:ind w:left="3360"/>
            <w:textAlignment w:val="baseline"/>
            <w:rPr>
              <w:sz w:val="28"/>
              <w:szCs w:val="28"/>
            </w:rPr>
          </w:pPr>
          <w:r>
            <w:rPr>
              <w:sz w:val="28"/>
              <w:szCs w:val="96"/>
            </w:rPr>
            <w:fldChar w:fldCharType="end"/>
          </w:r>
        </w:p>
      </w:sdtContent>
    </w:sdt>
    <w:p w14:paraId="5F5D0EB8">
      <w:pPr>
        <w:spacing w:line="560" w:lineRule="exact"/>
        <w:jc w:val="center"/>
        <w:textAlignment w:val="baseline"/>
        <w:rPr>
          <w:rFonts w:ascii="方正小标宋简体" w:eastAsia="方正小标宋简体"/>
          <w:sz w:val="28"/>
          <w:szCs w:val="28"/>
        </w:rPr>
        <w:sectPr>
          <w:pgSz w:w="11906" w:h="16838"/>
          <w:pgMar w:top="1701" w:right="1701" w:bottom="1701" w:left="1701" w:header="851" w:footer="992" w:gutter="0"/>
          <w:pgNumType w:start="1"/>
          <w:cols w:space="425" w:num="1"/>
          <w:docGrid w:type="lines" w:linePitch="312" w:charSpace="0"/>
        </w:sectPr>
      </w:pPr>
    </w:p>
    <w:p w14:paraId="003430F1">
      <w:pPr>
        <w:keepNext w:val="0"/>
        <w:keepLines w:val="0"/>
        <w:pageBreakBefore w:val="0"/>
        <w:kinsoku/>
        <w:wordWrap/>
        <w:overflowPunct/>
        <w:topLinePunct w:val="0"/>
        <w:autoSpaceDE/>
        <w:autoSpaceDN/>
        <w:bidi w:val="0"/>
        <w:spacing w:line="560" w:lineRule="exact"/>
        <w:jc w:val="center"/>
        <w:rPr>
          <w:rFonts w:ascii="宋体" w:hAnsi="宋体" w:eastAsia="宋体" w:cs="宋体"/>
          <w:b/>
          <w:bCs/>
          <w:sz w:val="44"/>
          <w:szCs w:val="44"/>
        </w:rPr>
      </w:pPr>
      <w:bookmarkStart w:id="0" w:name="_Toc12030"/>
      <w:r>
        <w:rPr>
          <w:rFonts w:hint="eastAsia" w:ascii="宋体" w:hAnsi="宋体" w:eastAsia="宋体" w:cs="宋体"/>
          <w:b/>
          <w:bCs/>
          <w:sz w:val="44"/>
          <w:szCs w:val="44"/>
        </w:rPr>
        <w:t>北京市人民政府天安门地区管理委员会</w:t>
      </w:r>
    </w:p>
    <w:p w14:paraId="1FC87F7D">
      <w:pPr>
        <w:keepNext w:val="0"/>
        <w:keepLines w:val="0"/>
        <w:pageBreakBefore w:val="0"/>
        <w:kinsoku/>
        <w:wordWrap/>
        <w:overflowPunct/>
        <w:topLinePunct w:val="0"/>
        <w:autoSpaceDE/>
        <w:autoSpaceDN/>
        <w:bidi w:val="0"/>
        <w:spacing w:line="560" w:lineRule="exact"/>
        <w:jc w:val="center"/>
        <w:rPr>
          <w:rFonts w:ascii="宋体" w:hAnsi="宋体" w:eastAsia="宋体" w:cs="宋体"/>
          <w:b/>
          <w:bCs/>
          <w:sz w:val="44"/>
          <w:szCs w:val="44"/>
        </w:rPr>
      </w:pPr>
      <w:r>
        <w:rPr>
          <w:rFonts w:hint="eastAsia" w:ascii="宋体" w:hAnsi="宋体" w:eastAsia="宋体" w:cs="宋体"/>
          <w:b/>
          <w:bCs/>
          <w:sz w:val="44"/>
          <w:szCs w:val="44"/>
        </w:rPr>
        <w:t>2023年度部门整体绩效评价报告</w:t>
      </w:r>
      <w:bookmarkEnd w:id="0"/>
    </w:p>
    <w:p w14:paraId="18049E2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rPr>
      </w:pPr>
    </w:p>
    <w:p w14:paraId="052C21C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为进一步落实全面实施预算绩效管理工作要求，建立科学、合理的项目支出绩效评价管理体系，提高财政资源配置效率和使用效益，强化支出责任，合理配置公共财政资源，根据</w:t>
      </w:r>
      <w:bookmarkStart w:id="1" w:name="_Hlk68003568"/>
      <w:r>
        <w:rPr>
          <w:rFonts w:hint="eastAsia" w:ascii="仿宋_GB2312" w:hAnsi="仿宋_GB2312" w:eastAsia="仿宋_GB2312" w:cs="仿宋_GB2312"/>
          <w:sz w:val="32"/>
          <w:szCs w:val="32"/>
        </w:rPr>
        <w:t>《中共中央 国务院关于全面实施预算绩效管理的意见》《北京市预算绩效管理办法》（京财绩效〔2019〕2129号）</w:t>
      </w:r>
      <w:bookmarkEnd w:id="1"/>
      <w:bookmarkStart w:id="2" w:name="title"/>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bookmarkEnd w:id="2"/>
      <w:r>
        <w:rPr>
          <w:rFonts w:hint="eastAsia" w:ascii="仿宋_GB2312" w:hAnsi="仿宋_GB2312" w:eastAsia="仿宋_GB2312" w:cs="仿宋_GB2312"/>
          <w:bCs/>
          <w:kern w:val="44"/>
          <w:sz w:val="32"/>
          <w:szCs w:val="32"/>
          <w:lang w:val="en"/>
        </w:rPr>
        <w:t>北京市财政局关于</w:t>
      </w:r>
      <w:r>
        <w:rPr>
          <w:rFonts w:hint="eastAsia" w:ascii="仿宋_GB2312" w:hAnsi="仿宋_GB2312" w:eastAsia="仿宋_GB2312" w:cs="仿宋_GB2312"/>
          <w:bCs/>
          <w:kern w:val="44"/>
          <w:sz w:val="32"/>
          <w:szCs w:val="32"/>
        </w:rPr>
        <w:t>开展</w:t>
      </w:r>
      <w:r>
        <w:rPr>
          <w:rFonts w:hint="eastAsia" w:ascii="仿宋_GB2312" w:hAnsi="仿宋_GB2312" w:eastAsia="仿宋_GB2312" w:cs="仿宋_GB2312"/>
          <w:bCs/>
          <w:kern w:val="44"/>
          <w:sz w:val="32"/>
          <w:szCs w:val="32"/>
          <w:lang w:val="en"/>
        </w:rPr>
        <w:t>202</w:t>
      </w:r>
      <w:r>
        <w:rPr>
          <w:rFonts w:hint="eastAsia" w:ascii="仿宋_GB2312" w:hAnsi="仿宋_GB2312" w:eastAsia="仿宋_GB2312" w:cs="仿宋_GB2312"/>
          <w:bCs/>
          <w:kern w:val="44"/>
          <w:sz w:val="32"/>
          <w:szCs w:val="32"/>
        </w:rPr>
        <w:t>4</w:t>
      </w:r>
      <w:r>
        <w:rPr>
          <w:rFonts w:hint="eastAsia" w:ascii="仿宋_GB2312" w:hAnsi="仿宋_GB2312" w:eastAsia="仿宋_GB2312" w:cs="仿宋_GB2312"/>
          <w:bCs/>
          <w:kern w:val="44"/>
          <w:sz w:val="32"/>
          <w:szCs w:val="32"/>
          <w:lang w:val="en"/>
        </w:rPr>
        <w:t>年</w:t>
      </w:r>
      <w:r>
        <w:rPr>
          <w:rFonts w:hint="eastAsia" w:ascii="仿宋_GB2312" w:hAnsi="仿宋_GB2312" w:eastAsia="仿宋_GB2312" w:cs="仿宋_GB2312"/>
          <w:bCs/>
          <w:kern w:val="44"/>
          <w:sz w:val="32"/>
          <w:szCs w:val="32"/>
        </w:rPr>
        <w:t>预算绩效</w:t>
      </w:r>
      <w:r>
        <w:rPr>
          <w:rFonts w:hint="eastAsia" w:ascii="仿宋_GB2312" w:hAnsi="仿宋_GB2312" w:eastAsia="仿宋_GB2312" w:cs="仿宋_GB2312"/>
          <w:bCs/>
          <w:kern w:val="44"/>
          <w:sz w:val="32"/>
          <w:szCs w:val="32"/>
          <w:lang w:val="en"/>
        </w:rPr>
        <w:t>管理</w:t>
      </w:r>
      <w:r>
        <w:rPr>
          <w:rFonts w:hint="eastAsia" w:ascii="仿宋_GB2312" w:hAnsi="仿宋_GB2312" w:eastAsia="仿宋_GB2312" w:cs="仿宋_GB2312"/>
          <w:bCs/>
          <w:kern w:val="44"/>
          <w:sz w:val="32"/>
          <w:szCs w:val="32"/>
        </w:rPr>
        <w:t>相关</w:t>
      </w:r>
      <w:r>
        <w:rPr>
          <w:rFonts w:hint="eastAsia" w:ascii="仿宋_GB2312" w:hAnsi="仿宋_GB2312" w:eastAsia="仿宋_GB2312" w:cs="仿宋_GB2312"/>
          <w:bCs/>
          <w:kern w:val="44"/>
          <w:sz w:val="32"/>
          <w:szCs w:val="32"/>
          <w:lang w:val="en"/>
        </w:rPr>
        <w:t>工作的</w:t>
      </w:r>
      <w:r>
        <w:rPr>
          <w:rFonts w:hint="eastAsia" w:ascii="仿宋_GB2312" w:hAnsi="仿宋_GB2312" w:eastAsia="仿宋_GB2312" w:cs="仿宋_GB2312"/>
          <w:bCs/>
          <w:kern w:val="44"/>
          <w:sz w:val="32"/>
          <w:szCs w:val="32"/>
        </w:rPr>
        <w:t>函</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等文件精神，北京市人民政府天安门地区管理委员会（以下简称“</w:t>
      </w:r>
      <w:r>
        <w:rPr>
          <w:rFonts w:hint="eastAsia" w:ascii="仿宋_GB2312" w:hAnsi="仿宋" w:eastAsia="仿宋_GB2312" w:cs="Times New Roman"/>
          <w:sz w:val="32"/>
          <w:szCs w:val="32"/>
        </w:rPr>
        <w:t>天安门地区管委会</w:t>
      </w:r>
      <w:r>
        <w:rPr>
          <w:rFonts w:hint="eastAsia" w:ascii="仿宋_GB2312" w:hAnsi="仿宋_GB2312" w:eastAsia="仿宋_GB2312" w:cs="仿宋_GB2312"/>
          <w:sz w:val="32"/>
          <w:szCs w:val="32"/>
        </w:rPr>
        <w:t>”）对2023年度部门整体支出进行综合分析评价，形成本报告。</w:t>
      </w:r>
    </w:p>
    <w:p w14:paraId="1D112B54">
      <w:pPr>
        <w:pStyle w:val="27"/>
        <w:keepNext w:val="0"/>
        <w:keepLines w:val="0"/>
        <w:pageBreakBefore w:val="0"/>
        <w:kinsoku/>
        <w:wordWrap/>
        <w:overflowPunct/>
        <w:topLinePunct w:val="0"/>
        <w:autoSpaceDE/>
        <w:autoSpaceDN/>
        <w:bidi w:val="0"/>
        <w:adjustRightInd w:val="0"/>
        <w:snapToGrid w:val="0"/>
        <w:spacing w:line="560" w:lineRule="exact"/>
        <w:ind w:firstLine="640"/>
        <w:textAlignment w:val="baseline"/>
        <w:outlineLvl w:val="0"/>
        <w:rPr>
          <w:rFonts w:ascii="黑体" w:hAnsi="黑体" w:eastAsia="黑体"/>
          <w:sz w:val="32"/>
          <w:szCs w:val="32"/>
        </w:rPr>
      </w:pPr>
      <w:bookmarkStart w:id="3" w:name="_Toc17831"/>
      <w:bookmarkStart w:id="4" w:name="_Toc8766"/>
      <w:bookmarkStart w:id="5" w:name="_Toc26467"/>
      <w:bookmarkStart w:id="6" w:name="_Toc15145"/>
      <w:r>
        <w:rPr>
          <w:rFonts w:hint="eastAsia" w:ascii="黑体" w:hAnsi="黑体" w:eastAsia="黑体"/>
          <w:sz w:val="32"/>
          <w:szCs w:val="32"/>
        </w:rPr>
        <w:t>一、部门概况</w:t>
      </w:r>
      <w:bookmarkEnd w:id="3"/>
      <w:bookmarkEnd w:id="4"/>
      <w:bookmarkEnd w:id="5"/>
      <w:bookmarkEnd w:id="6"/>
    </w:p>
    <w:p w14:paraId="7E4A85A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ascii="楷体_GB2312" w:eastAsia="楷体_GB2312"/>
          <w:bCs/>
          <w:sz w:val="32"/>
          <w:szCs w:val="32"/>
        </w:rPr>
      </w:pPr>
      <w:bookmarkStart w:id="7" w:name="_Toc7959"/>
      <w:bookmarkStart w:id="8" w:name="_Toc8540"/>
      <w:bookmarkStart w:id="9" w:name="_Toc31134"/>
      <w:bookmarkStart w:id="10" w:name="_Toc23826"/>
      <w:r>
        <w:rPr>
          <w:rFonts w:hint="eastAsia" w:ascii="楷体_GB2312" w:eastAsia="楷体_GB2312"/>
          <w:bCs/>
          <w:sz w:val="32"/>
          <w:szCs w:val="32"/>
        </w:rPr>
        <w:t>（一）机构设置及职责工作任务情况</w:t>
      </w:r>
      <w:bookmarkEnd w:id="7"/>
      <w:bookmarkEnd w:id="8"/>
      <w:bookmarkEnd w:id="9"/>
      <w:bookmarkEnd w:id="10"/>
    </w:p>
    <w:p w14:paraId="7C7FE8A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 w:eastAsia="仿宋_GB2312" w:cs="Times New Roman"/>
          <w:sz w:val="32"/>
          <w:szCs w:val="32"/>
        </w:rPr>
      </w:pPr>
      <w:bookmarkStart w:id="11" w:name="_Toc14178"/>
      <w:bookmarkStart w:id="12" w:name="_Toc17184"/>
      <w:bookmarkStart w:id="13" w:name="_Toc9052"/>
      <w:r>
        <w:rPr>
          <w:rFonts w:hint="eastAsia" w:ascii="仿宋_GB2312" w:hAnsi="仿宋" w:eastAsia="仿宋_GB2312" w:cs="Times New Roman"/>
          <w:sz w:val="32"/>
          <w:szCs w:val="32"/>
        </w:rPr>
        <w:t>天安门地区管委会是负责组织协调天安门地区管理工作的市政府派出机构，主要职责包括：</w:t>
      </w:r>
    </w:p>
    <w:p w14:paraId="57A3E3A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1.贯彻执行国家及本市有关法律、法规和政策。</w:t>
      </w:r>
    </w:p>
    <w:p w14:paraId="5814F17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2.组织协调天安门地区升挂国旗活动，会同有关部门做好在天安门地区举行的外事迎宾、节日庆典等活动。</w:t>
      </w:r>
    </w:p>
    <w:p w14:paraId="397A277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3.负责天安门地区的市容和环境卫生；组织协调天安门地区社会秩序、市政公用设施；城市绿化等工作；会同有关部门做好天安门地区文物保护工作。</w:t>
      </w:r>
    </w:p>
    <w:p w14:paraId="464D9ED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4.负责天安门地区应急管理工作。</w:t>
      </w:r>
    </w:p>
    <w:p w14:paraId="1BECA65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5.负责对有关部门在天安门地区的日常管理工作进行监督检查。</w:t>
      </w:r>
    </w:p>
    <w:p w14:paraId="0323972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6.负责天安门地区服务设施的统一规划工作。</w:t>
      </w:r>
    </w:p>
    <w:p w14:paraId="39C415F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7.负责天安门城楼的开放与管理工作。</w:t>
      </w:r>
    </w:p>
    <w:p w14:paraId="5550A2A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8</w:t>
      </w:r>
      <w:r>
        <w:rPr>
          <w:rFonts w:hint="eastAsia" w:ascii="仿宋_GB2312" w:hAnsi="仿宋" w:eastAsia="仿宋_GB2312" w:cs="Times New Roman"/>
          <w:sz w:val="32"/>
          <w:szCs w:val="32"/>
        </w:rPr>
        <w:t>.负责组织、协调、监督天安门地区的安全生产工作，并承担相应的管理责任；负责本机关及所属单位的安全工作，并承担相应的领导责任。</w:t>
      </w:r>
    </w:p>
    <w:p w14:paraId="1C35E09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val="en-US" w:eastAsia="zh-CN"/>
        </w:rPr>
        <w:t>9</w:t>
      </w:r>
      <w:r>
        <w:rPr>
          <w:rFonts w:hint="eastAsia" w:ascii="仿宋_GB2312" w:hAnsi="仿宋" w:eastAsia="仿宋_GB2312" w:cs="Times New Roman"/>
          <w:sz w:val="32"/>
          <w:szCs w:val="32"/>
        </w:rPr>
        <w:t>.负责天安门广场预约参观工作</w:t>
      </w:r>
      <w:r>
        <w:rPr>
          <w:rFonts w:hint="eastAsia" w:ascii="仿宋_GB2312" w:hAnsi="仿宋" w:eastAsia="仿宋_GB2312" w:cs="Times New Roman"/>
          <w:sz w:val="32"/>
          <w:szCs w:val="32"/>
          <w:lang w:eastAsia="zh-CN"/>
        </w:rPr>
        <w:t>。</w:t>
      </w:r>
    </w:p>
    <w:p w14:paraId="7AD10CA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10</w:t>
      </w:r>
      <w:r>
        <w:rPr>
          <w:rFonts w:hint="eastAsia" w:ascii="仿宋_GB2312" w:hAnsi="仿宋" w:eastAsia="仿宋_GB2312" w:cs="Times New Roman"/>
          <w:sz w:val="32"/>
          <w:szCs w:val="32"/>
        </w:rPr>
        <w:t>.承办市委、市政府交办的其他事项。</w:t>
      </w:r>
    </w:p>
    <w:p w14:paraId="1CF1445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ascii="楷体_GB2312" w:eastAsia="楷体_GB2312"/>
          <w:bCs/>
          <w:sz w:val="32"/>
          <w:szCs w:val="32"/>
        </w:rPr>
      </w:pPr>
      <w:bookmarkStart w:id="14" w:name="_Toc4712"/>
      <w:r>
        <w:rPr>
          <w:rFonts w:hint="eastAsia" w:ascii="楷体_GB2312" w:eastAsia="楷体_GB2312"/>
          <w:bCs/>
          <w:sz w:val="32"/>
          <w:szCs w:val="32"/>
        </w:rPr>
        <w:t>（二）部门整体绩效目标设立情况</w:t>
      </w:r>
      <w:bookmarkEnd w:id="11"/>
      <w:bookmarkEnd w:id="12"/>
      <w:bookmarkEnd w:id="13"/>
      <w:bookmarkEnd w:id="14"/>
    </w:p>
    <w:p w14:paraId="01B99F8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天安门地区管委会部门整体支出绩效目标设置为：坚持以习近平新时代中国特色社会主义思想为指导，深入贯彻党的二十大精神，坚决落实市委市政府决策部署，围绕“四个中心”，着眼“四个服务”，坚定捍卫“两个确立”，做到“两个维护”。结合《北京市天安门地区管理规定》（市政府第203号令）等有关文件以及部门年度工作计划，在从部门职责出发，以把天安门地区打造成首都“四个中心”建设成果集中展示区为目标，坚持稳中求进，全面维护地区安全稳定、推进公共服务建设、提升服务保障工作能力、加强文化建设。</w:t>
      </w:r>
    </w:p>
    <w:p w14:paraId="4CEC7CF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天安门地区管委会将202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年部门整体绩效目标细化为具体绩效指标，覆盖</w:t>
      </w:r>
      <w:r>
        <w:rPr>
          <w:rFonts w:hint="eastAsia" w:ascii="仿宋_GB2312" w:hAnsi="仿宋_GB2312" w:eastAsia="仿宋_GB2312" w:cs="仿宋_GB2312"/>
          <w:sz w:val="32"/>
          <w:szCs w:val="32"/>
          <w:lang w:eastAsia="zh-CN"/>
        </w:rPr>
        <w:t>政务服务综合保障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秩序维护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文物保护、环境卫生、地区应急管理、综合治理、</w:t>
      </w:r>
      <w:r>
        <w:rPr>
          <w:rFonts w:hint="eastAsia" w:ascii="仿宋_GB2312" w:hAnsi="仿宋_GB2312" w:eastAsia="仿宋_GB2312" w:cs="仿宋_GB2312"/>
          <w:sz w:val="32"/>
          <w:szCs w:val="32"/>
        </w:rPr>
        <w:t>旅游管理、</w:t>
      </w:r>
      <w:r>
        <w:rPr>
          <w:rFonts w:hint="eastAsia" w:ascii="仿宋_GB2312" w:hAnsi="仿宋_GB2312" w:eastAsia="仿宋_GB2312" w:cs="仿宋_GB2312"/>
          <w:sz w:val="32"/>
          <w:szCs w:val="32"/>
          <w:lang w:eastAsia="zh-CN"/>
        </w:rPr>
        <w:t>信息化系统运行维护、城楼开放管理、市政设施维护</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类活动产出。</w:t>
      </w:r>
    </w:p>
    <w:p w14:paraId="2B91478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绩效分析认为，天安门地区管委会绩效目标设立依据充分，符合国家法律法规，符合中央和市委市政府部署要求，符合年度工作实际。总体目标以各预算项目支出绩效目标为支撑，与预算资金投入相匹配，具有较强的可行性、合理性。</w:t>
      </w:r>
    </w:p>
    <w:p w14:paraId="76D45843">
      <w:pPr>
        <w:pStyle w:val="27"/>
        <w:keepNext w:val="0"/>
        <w:keepLines w:val="0"/>
        <w:pageBreakBefore w:val="0"/>
        <w:kinsoku/>
        <w:wordWrap/>
        <w:overflowPunct/>
        <w:topLinePunct w:val="0"/>
        <w:autoSpaceDE/>
        <w:autoSpaceDN/>
        <w:bidi w:val="0"/>
        <w:adjustRightInd w:val="0"/>
        <w:snapToGrid w:val="0"/>
        <w:spacing w:line="560" w:lineRule="exact"/>
        <w:ind w:firstLine="640"/>
        <w:textAlignment w:val="baseline"/>
        <w:outlineLvl w:val="0"/>
        <w:rPr>
          <w:rFonts w:ascii="黑体" w:hAnsi="黑体" w:eastAsia="黑体"/>
          <w:sz w:val="32"/>
          <w:szCs w:val="32"/>
        </w:rPr>
      </w:pPr>
      <w:bookmarkStart w:id="15" w:name="_Toc21647"/>
      <w:bookmarkStart w:id="16" w:name="_Toc23230"/>
      <w:bookmarkStart w:id="17" w:name="_Toc3885"/>
      <w:bookmarkStart w:id="18" w:name="_Toc12770"/>
      <w:r>
        <w:rPr>
          <w:rFonts w:hint="eastAsia" w:ascii="黑体" w:hAnsi="黑体" w:eastAsia="黑体"/>
          <w:sz w:val="32"/>
          <w:szCs w:val="32"/>
        </w:rPr>
        <w:t>二、当年预算执行情况</w:t>
      </w:r>
      <w:bookmarkEnd w:id="15"/>
    </w:p>
    <w:p w14:paraId="04DF4252">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宋体"/>
          <w:kern w:val="0"/>
          <w:sz w:val="32"/>
          <w:szCs w:val="32"/>
        </w:rPr>
        <w:t>2023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仿宋_GB2312" w:eastAsia="仿宋_GB2312" w:cs="仿宋_GB2312"/>
          <w:sz w:val="32"/>
          <w:szCs w:val="32"/>
        </w:rPr>
        <w:t>23,620</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lang w:eastAsia="zh-CN"/>
        </w:rPr>
        <w:t>万</w:t>
      </w:r>
      <w:r>
        <w:rPr>
          <w:rFonts w:hint="eastAsia" w:ascii="仿宋_GB2312" w:hAnsi="宋体" w:eastAsia="仿宋_GB2312" w:cs="宋体"/>
          <w:color w:val="000000"/>
          <w:kern w:val="0"/>
          <w:sz w:val="32"/>
          <w:szCs w:val="32"/>
        </w:rPr>
        <w:t>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hint="eastAsia" w:ascii="仿宋_GB2312" w:hAnsi="宋体" w:eastAsia="仿宋_GB2312" w:cs="宋体"/>
          <w:color w:val="000000"/>
          <w:kern w:val="0"/>
          <w:sz w:val="32"/>
          <w:szCs w:val="32"/>
          <w:lang w:eastAsia="zh-CN"/>
        </w:rPr>
        <w:t>：</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仿宋_GB2312" w:eastAsia="仿宋_GB2312" w:cs="仿宋_GB2312"/>
          <w:sz w:val="32"/>
          <w:szCs w:val="32"/>
        </w:rPr>
        <w:t>11,541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lang w:eastAsia="zh-CN"/>
        </w:rPr>
        <w:t>万</w:t>
      </w:r>
      <w:r>
        <w:rPr>
          <w:rFonts w:ascii="仿宋_GB2312" w:hAnsi="宋体" w:eastAsia="仿宋_GB2312" w:cs="宋体"/>
          <w:color w:val="000000"/>
          <w:kern w:val="0"/>
          <w:sz w:val="32"/>
          <w:szCs w:val="32"/>
        </w:rPr>
        <w:t>元，</w:t>
      </w:r>
      <w:r>
        <w:rPr>
          <w:rFonts w:hint="eastAsia" w:ascii="仿宋_GB2312" w:hAnsi="宋体" w:eastAsia="仿宋_GB2312" w:cs="宋体"/>
          <w:color w:val="000000"/>
          <w:kern w:val="0"/>
          <w:sz w:val="32"/>
          <w:szCs w:val="32"/>
        </w:rPr>
        <w:t>项目支出预算数</w:t>
      </w:r>
      <w:r>
        <w:rPr>
          <w:rFonts w:hint="eastAsia" w:ascii="仿宋_GB2312" w:hAnsi="仿宋_GB2312" w:eastAsia="仿宋_GB2312" w:cs="仿宋_GB2312"/>
          <w:sz w:val="32"/>
          <w:szCs w:val="32"/>
        </w:rPr>
        <w:t>12,078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91</w:t>
      </w:r>
      <w:r>
        <w:rPr>
          <w:rFonts w:hint="eastAsia" w:ascii="仿宋_GB2312" w:hAnsi="仿宋_GB2312" w:eastAsia="仿宋_GB2312" w:cs="仿宋_GB2312"/>
          <w:sz w:val="32"/>
          <w:szCs w:val="32"/>
          <w:lang w:eastAsia="zh-CN"/>
        </w:rPr>
        <w:t>万</w:t>
      </w:r>
      <w:r>
        <w:rPr>
          <w:rFonts w:ascii="仿宋_GB2312" w:hAnsi="宋体" w:eastAsia="仿宋_GB2312" w:cs="宋体"/>
          <w:color w:val="000000"/>
          <w:kern w:val="0"/>
          <w:sz w:val="32"/>
          <w:szCs w:val="32"/>
        </w:rPr>
        <w:t>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支出22</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265.74</w:t>
      </w:r>
      <w:r>
        <w:rPr>
          <w:rFonts w:hint="eastAsia" w:ascii="仿宋_GB2312" w:hAnsi="宋体" w:eastAsia="仿宋_GB2312" w:cs="宋体"/>
          <w:color w:val="000000"/>
          <w:kern w:val="0"/>
          <w:sz w:val="32"/>
          <w:szCs w:val="32"/>
          <w:lang w:eastAsia="zh-CN"/>
        </w:rPr>
        <w:t>万</w:t>
      </w:r>
      <w:r>
        <w:rPr>
          <w:rFonts w:ascii="仿宋_GB2312" w:hAnsi="宋体" w:eastAsia="仿宋_GB2312" w:cs="宋体"/>
          <w:color w:val="000000"/>
          <w:kern w:val="0"/>
          <w:sz w:val="32"/>
          <w:szCs w:val="32"/>
        </w:rPr>
        <w:t>元</w:t>
      </w:r>
      <w:r>
        <w:rPr>
          <w:rFonts w:hint="eastAsia" w:ascii="仿宋_GB2312" w:hAnsi="宋体" w:eastAsia="仿宋_GB2312" w:cs="宋体"/>
          <w:color w:val="000000"/>
          <w:kern w:val="0"/>
          <w:sz w:val="32"/>
          <w:szCs w:val="32"/>
          <w:lang w:eastAsia="zh-CN"/>
        </w:rPr>
        <w:t>，</w:t>
      </w:r>
      <w:r>
        <w:rPr>
          <w:rFonts w:ascii="仿宋_GB2312" w:hAnsi="宋体" w:eastAsia="仿宋_GB2312" w:cs="宋体"/>
          <w:color w:val="000000"/>
          <w:kern w:val="0"/>
          <w:sz w:val="32"/>
          <w:szCs w:val="32"/>
        </w:rPr>
        <w:t>其中</w:t>
      </w:r>
      <w:r>
        <w:rPr>
          <w:rFonts w:hint="eastAsia" w:ascii="仿宋_GB2312" w:hAnsi="宋体" w:eastAsia="仿宋_GB2312" w:cs="宋体"/>
          <w:color w:val="000000"/>
          <w:kern w:val="0"/>
          <w:sz w:val="32"/>
          <w:szCs w:val="32"/>
          <w:lang w:eastAsia="zh-CN"/>
        </w:rPr>
        <w:t>：</w:t>
      </w:r>
      <w:r>
        <w:rPr>
          <w:rFonts w:ascii="仿宋_GB2312" w:hAnsi="宋体" w:eastAsia="仿宋_GB2312" w:cs="宋体"/>
          <w:color w:val="000000"/>
          <w:kern w:val="0"/>
          <w:sz w:val="32"/>
          <w:szCs w:val="32"/>
        </w:rPr>
        <w:t>基本支出</w:t>
      </w:r>
      <w:r>
        <w:rPr>
          <w:rFonts w:hint="eastAsia" w:ascii="仿宋_GB2312" w:hAnsi="仿宋_GB2312" w:eastAsia="仿宋_GB2312" w:cs="仿宋_GB2312"/>
          <w:sz w:val="32"/>
          <w:szCs w:val="32"/>
        </w:rPr>
        <w:t>11</w:t>
      </w:r>
      <w:r>
        <w:rPr>
          <w:rFonts w:hint="eastAsia" w:ascii="仿宋_GB2312" w:hAnsi="宋体" w:eastAsia="仿宋_GB2312" w:cs="宋体"/>
          <w:color w:val="000000"/>
          <w:kern w:val="0"/>
          <w:sz w:val="32"/>
          <w:szCs w:val="32"/>
          <w:lang w:val="en-US" w:eastAsia="zh-CN"/>
        </w:rPr>
        <w:t>,</w:t>
      </w:r>
      <w:r>
        <w:rPr>
          <w:rFonts w:hint="eastAsia" w:ascii="仿宋_GB2312" w:hAnsi="仿宋_GB2312" w:eastAsia="仿宋_GB2312" w:cs="仿宋_GB2312"/>
          <w:sz w:val="32"/>
          <w:szCs w:val="32"/>
        </w:rPr>
        <w:t>018.59</w:t>
      </w:r>
      <w:r>
        <w:rPr>
          <w:rFonts w:hint="eastAsia" w:ascii="仿宋_GB2312" w:hAnsi="仿宋_GB2312" w:eastAsia="仿宋_GB2312" w:cs="仿宋_GB2312"/>
          <w:sz w:val="32"/>
          <w:szCs w:val="32"/>
          <w:lang w:eastAsia="zh-CN"/>
        </w:rPr>
        <w:t>万</w:t>
      </w:r>
      <w:r>
        <w:rPr>
          <w:rFonts w:ascii="仿宋_GB2312" w:hAnsi="宋体" w:eastAsia="仿宋_GB2312" w:cs="宋体"/>
          <w:color w:val="000000"/>
          <w:kern w:val="0"/>
          <w:sz w:val="32"/>
          <w:szCs w:val="32"/>
        </w:rPr>
        <w:t>元，项目</w:t>
      </w:r>
      <w:r>
        <w:rPr>
          <w:rFonts w:hint="eastAsia" w:ascii="仿宋_GB2312" w:hAnsi="宋体" w:eastAsia="仿宋_GB2312" w:cs="宋体"/>
          <w:color w:val="000000"/>
          <w:kern w:val="0"/>
          <w:sz w:val="32"/>
          <w:szCs w:val="32"/>
        </w:rPr>
        <w:t>支出</w:t>
      </w:r>
      <w:r>
        <w:rPr>
          <w:rFonts w:hint="eastAsia" w:ascii="仿宋_GB2312" w:hAnsi="仿宋_GB2312" w:eastAsia="仿宋_GB2312" w:cs="仿宋_GB2312"/>
          <w:sz w:val="32"/>
          <w:szCs w:val="32"/>
        </w:rPr>
        <w:t>11</w:t>
      </w:r>
      <w:r>
        <w:rPr>
          <w:rFonts w:hint="eastAsia" w:ascii="仿宋_GB2312" w:hAnsi="宋体" w:eastAsia="仿宋_GB2312" w:cs="宋体"/>
          <w:color w:val="000000"/>
          <w:kern w:val="0"/>
          <w:sz w:val="32"/>
          <w:szCs w:val="32"/>
          <w:lang w:val="en-US" w:eastAsia="zh-CN"/>
        </w:rPr>
        <w:t>,</w:t>
      </w:r>
      <w:r>
        <w:rPr>
          <w:rFonts w:hint="eastAsia" w:ascii="仿宋_GB2312" w:hAnsi="仿宋_GB2312" w:eastAsia="仿宋_GB2312" w:cs="仿宋_GB2312"/>
          <w:sz w:val="32"/>
          <w:szCs w:val="32"/>
        </w:rPr>
        <w:t>247.15</w:t>
      </w:r>
      <w:r>
        <w:rPr>
          <w:rFonts w:ascii="仿宋_GB2312" w:hAnsi="宋体" w:eastAsia="仿宋_GB2312" w:cs="宋体"/>
          <w:color w:val="000000"/>
          <w:kern w:val="0"/>
          <w:sz w:val="32"/>
          <w:szCs w:val="32"/>
        </w:rPr>
        <w:t>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仿宋_GB2312" w:eastAsia="仿宋_GB2312" w:cs="仿宋_GB2312"/>
          <w:sz w:val="32"/>
          <w:szCs w:val="32"/>
        </w:rPr>
        <w:t>94.27%</w:t>
      </w:r>
      <w:r>
        <w:rPr>
          <w:rFonts w:hint="eastAsia" w:ascii="仿宋_GB2312" w:hAnsi="宋体" w:eastAsia="仿宋_GB2312" w:cs="宋体"/>
          <w:color w:val="000000"/>
          <w:kern w:val="0"/>
          <w:sz w:val="32"/>
          <w:szCs w:val="32"/>
        </w:rPr>
        <w:t>。</w:t>
      </w:r>
    </w:p>
    <w:p w14:paraId="0585FD1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0"/>
        <w:rPr>
          <w:rFonts w:ascii="黑体" w:hAnsi="黑体" w:eastAsia="黑体" w:cs="宋体"/>
          <w:color w:val="000000"/>
          <w:kern w:val="0"/>
          <w:sz w:val="32"/>
          <w:szCs w:val="32"/>
        </w:rPr>
      </w:pPr>
      <w:bookmarkStart w:id="19" w:name="_Toc14248"/>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bookmarkEnd w:id="16"/>
      <w:bookmarkEnd w:id="17"/>
      <w:bookmarkEnd w:id="18"/>
      <w:bookmarkEnd w:id="19"/>
    </w:p>
    <w:p w14:paraId="5A08B26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ascii="楷体_GB2312" w:eastAsia="楷体_GB2312"/>
          <w:bCs/>
          <w:sz w:val="32"/>
          <w:szCs w:val="32"/>
        </w:rPr>
      </w:pPr>
      <w:bookmarkStart w:id="20" w:name="_Toc5478"/>
      <w:r>
        <w:rPr>
          <w:rFonts w:hint="eastAsia" w:ascii="楷体_GB2312" w:eastAsia="楷体_GB2312"/>
          <w:bCs/>
          <w:sz w:val="32"/>
          <w:szCs w:val="32"/>
        </w:rPr>
        <w:t>（一）产出完成情况分析</w:t>
      </w:r>
      <w:bookmarkEnd w:id="20"/>
    </w:p>
    <w:p w14:paraId="357E117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1.产出数量</w:t>
      </w:r>
    </w:p>
    <w:p w14:paraId="5CB676C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rPr>
        <w:t>天安门地区管委会</w:t>
      </w:r>
      <w:r>
        <w:rPr>
          <w:rFonts w:hint="eastAsia" w:ascii="仿宋_GB2312" w:hAnsi="仿宋_GB2312" w:eastAsia="仿宋_GB2312" w:cs="仿宋_GB2312"/>
          <w:sz w:val="32"/>
          <w:lang w:eastAsia="zh-CN"/>
        </w:rPr>
        <w:t>本级</w:t>
      </w:r>
      <w:r>
        <w:rPr>
          <w:rFonts w:hint="eastAsia" w:ascii="仿宋_GB2312" w:hAnsi="仿宋_GB2312" w:eastAsia="仿宋_GB2312" w:cs="仿宋_GB2312"/>
          <w:sz w:val="32"/>
          <w:lang w:val="en-US" w:eastAsia="zh-CN"/>
        </w:rPr>
        <w:t>及二级单位年初设立项目17个，年中追加项目1个，调减项目1个，合计17个项目（含涉密项目1个），分为行政运行类和事业发展类。预算年度内，各项目均按既定目标实施，产出数量完成情况较好，具体</w:t>
      </w:r>
      <w:r>
        <w:rPr>
          <w:rFonts w:hint="eastAsia" w:ascii="仿宋_GB2312" w:hAnsi="仿宋_GB2312" w:eastAsia="仿宋_GB2312" w:cs="仿宋_GB2312"/>
          <w:sz w:val="32"/>
          <w:szCs w:val="32"/>
        </w:rPr>
        <w:t>表现在：</w:t>
      </w:r>
    </w:p>
    <w:p w14:paraId="129C76B2">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政务服务综合保障方面：</w:t>
      </w:r>
      <w:r>
        <w:rPr>
          <w:rFonts w:hint="eastAsia" w:ascii="仿宋_GB2312" w:hAnsi="仿宋_GB2312" w:eastAsia="仿宋_GB2312" w:cs="仿宋_GB2312"/>
          <w:sz w:val="32"/>
          <w:szCs w:val="32"/>
          <w:highlight w:val="none"/>
          <w:lang w:val="en-US" w:eastAsia="zh-CN"/>
        </w:rPr>
        <w:t>完成全国两会、烈士纪念日向人民英雄敬献花篮仪式、国庆音乐会等重要会议和国事活动及29个外国国家领导人敬献花圈、55个国家来访外事挂旗的服务保障工作。配合毛主席纪念堂、人民大会堂等中央单位圆满完成纪念毛泽东同志诞辰130周年等重要活动的服务保</w:t>
      </w:r>
      <w:bookmarkStart w:id="63" w:name="_GoBack"/>
      <w:bookmarkEnd w:id="63"/>
      <w:r>
        <w:rPr>
          <w:rFonts w:hint="eastAsia" w:ascii="仿宋_GB2312" w:hAnsi="仿宋_GB2312" w:eastAsia="仿宋_GB2312" w:cs="仿宋_GB2312"/>
          <w:sz w:val="32"/>
          <w:szCs w:val="32"/>
          <w:highlight w:val="none"/>
          <w:lang w:val="en-US" w:eastAsia="zh-CN"/>
        </w:rPr>
        <w:t>障任务。</w:t>
      </w:r>
    </w:p>
    <w:p w14:paraId="31559BF3">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秩序维护</w:t>
      </w:r>
      <w:r>
        <w:rPr>
          <w:rFonts w:hint="eastAsia" w:ascii="仿宋_GB2312" w:hAnsi="仿宋_GB2312" w:eastAsia="仿宋_GB2312" w:cs="仿宋_GB2312"/>
          <w:sz w:val="32"/>
          <w:szCs w:val="32"/>
        </w:rPr>
        <w:t>方面：</w:t>
      </w:r>
      <w:r>
        <w:rPr>
          <w:rFonts w:hint="eastAsia" w:ascii="仿宋_GB2312" w:hAnsi="仿宋_GB2312" w:eastAsia="仿宋_GB2312" w:cs="仿宋_GB2312"/>
          <w:color w:val="000000"/>
          <w:spacing w:val="-6"/>
          <w:sz w:val="32"/>
          <w:szCs w:val="32"/>
          <w:highlight w:val="none"/>
          <w:lang w:val="en-US" w:eastAsia="zh-CN"/>
        </w:rPr>
        <w:t>购买网格化及相关保安服务，在大客流风险防范、客流疏导、秩序维护、突发情况处置等公共安全维护方面发挥重要辅助作用；购置回传型执法记录仪和800兆集群手持台，开展执法城管通运行维护</w:t>
      </w:r>
      <w:r>
        <w:rPr>
          <w:rFonts w:hint="eastAsia" w:ascii="仿宋_GB2312" w:hAnsi="仿宋_GB2312" w:eastAsia="仿宋_GB2312" w:cs="仿宋_GB2312"/>
          <w:sz w:val="32"/>
          <w:szCs w:val="32"/>
          <w:lang w:val="en-US" w:eastAsia="zh-CN"/>
        </w:rPr>
        <w:t>，有效辅助了执法工作，规范了日常执法行为，强化了现场指挥调度，为天安门地区环境秩序持续提升提供了有力支撑。</w:t>
      </w:r>
    </w:p>
    <w:p w14:paraId="105ED69B">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16"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6"/>
          <w:sz w:val="32"/>
          <w:szCs w:val="32"/>
          <w:highlight w:val="none"/>
          <w:lang w:val="en-US" w:eastAsia="zh-CN"/>
        </w:rPr>
        <w:t>文物保护方面：常态化开展重点文物专业巡检和监测维保，天安门南侧值房保护修缮方案和金水桥保护修缮方案获得国家文物局批准。</w:t>
      </w:r>
    </w:p>
    <w:p w14:paraId="21F22B28">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环境卫生方面：全年对天安门地区区域不小于29万平方米进行日常清扫作业，开展天安门地区地面专业药液清洗作业；在纪念堂南侧、天安门广场东西侧路搭设临时厕所，保障地区游客如厕需求。</w:t>
      </w:r>
    </w:p>
    <w:p w14:paraId="1B1B3761">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地区应急管理工作方面：</w:t>
      </w:r>
      <w:r>
        <w:rPr>
          <w:rFonts w:hint="eastAsia" w:ascii="仿宋_GB2312" w:hAnsi="仿宋_GB2312" w:eastAsia="仿宋_GB2312" w:cs="仿宋_GB2312"/>
          <w:sz w:val="32"/>
          <w:szCs w:val="32"/>
          <w:lang w:val="en-US" w:eastAsia="zh-CN"/>
        </w:rPr>
        <w:t>初步完成天安门地区客流监测预警管理系统建设，系统通过初步验收，进入试运行阶段。</w:t>
      </w:r>
    </w:p>
    <w:p w14:paraId="3283FFA4">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综合治理方面：开展消防安全、安全生产、交通安全、群防群治等主题宣传及培训，</w:t>
      </w:r>
      <w:r>
        <w:rPr>
          <w:rFonts w:hint="eastAsia" w:ascii="仿宋_GB2312" w:hAnsi="仿宋_GB2312" w:eastAsia="仿宋_GB2312" w:cs="仿宋_GB2312"/>
          <w:sz w:val="32"/>
          <w:szCs w:val="32"/>
          <w:lang w:val="en-US" w:eastAsia="zh-CN"/>
        </w:rPr>
        <w:t>参与人员2000余人次。</w:t>
      </w:r>
      <w:r>
        <w:rPr>
          <w:rFonts w:hint="eastAsia" w:ascii="仿宋_GB2312" w:hAnsi="仿宋_GB2312" w:eastAsia="仿宋_GB2312" w:cs="仿宋_GB2312"/>
          <w:sz w:val="32"/>
          <w:szCs w:val="32"/>
          <w:highlight w:val="none"/>
        </w:rPr>
        <w:t>天安门地区火灾防控预警系统</w:t>
      </w:r>
      <w:r>
        <w:rPr>
          <w:rFonts w:hint="eastAsia" w:ascii="仿宋_GB2312" w:hAnsi="仿宋_GB2312" w:eastAsia="仿宋_GB2312" w:cs="仿宋_GB2312"/>
          <w:sz w:val="32"/>
          <w:szCs w:val="32"/>
          <w:highlight w:val="none"/>
          <w:lang w:eastAsia="zh-CN"/>
        </w:rPr>
        <w:t>发挥监测预警作用</w:t>
      </w:r>
      <w:r>
        <w:rPr>
          <w:rFonts w:hint="eastAsia" w:ascii="仿宋_GB2312" w:hAnsi="仿宋_GB2312" w:eastAsia="仿宋_GB2312" w:cs="仿宋_GB2312"/>
          <w:sz w:val="32"/>
          <w:szCs w:val="32"/>
        </w:rPr>
        <w:t>。开展公共安全综合风险评估，进一步加强公共场所人员聚集安全管理。</w:t>
      </w:r>
    </w:p>
    <w:p w14:paraId="18842373">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旅游管理方面：</w:t>
      </w:r>
      <w:r>
        <w:rPr>
          <w:rFonts w:hint="eastAsia" w:ascii="仿宋_GB2312" w:hAnsi="仿宋_GB2312" w:eastAsia="仿宋_GB2312" w:cs="仿宋_GB2312"/>
          <w:sz w:val="32"/>
          <w:szCs w:val="32"/>
          <w:lang w:val="en-US" w:eastAsia="zh-CN"/>
        </w:rPr>
        <w:t>提供天安门广场预约现场人工核验、引导及咨询，设置预约咨询热线人工坐席和IVR坐席预约服务解答游客预约参观问题，持续</w:t>
      </w:r>
      <w:r>
        <w:rPr>
          <w:rFonts w:hint="eastAsia" w:ascii="仿宋_GB2312" w:hAnsi="仿宋_GB2312" w:eastAsia="仿宋_GB2312" w:cs="仿宋_GB2312"/>
          <w:sz w:val="32"/>
          <w:szCs w:val="32"/>
        </w:rPr>
        <w:t>优化提升天安门广场预约参观功能，营造安全有序的旅游参观环境。</w:t>
      </w:r>
    </w:p>
    <w:p w14:paraId="6970D478">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信息化系统运行维护方面：</w:t>
      </w:r>
      <w:r>
        <w:rPr>
          <w:rFonts w:hint="eastAsia" w:ascii="仿宋_GB2312" w:hAnsi="仿宋_GB2312" w:eastAsia="仿宋_GB2312" w:cs="仿宋_GB2312"/>
          <w:sz w:val="32"/>
          <w:szCs w:val="32"/>
          <w:lang w:eastAsia="zh-CN"/>
        </w:rPr>
        <w:t>全年完成信息化业务系统巡检</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网络无故障率达</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全委</w:t>
      </w:r>
      <w:r>
        <w:rPr>
          <w:rFonts w:hint="eastAsia" w:ascii="仿宋_GB2312" w:hAnsi="仿宋_GB2312" w:eastAsia="仿宋_GB2312" w:cs="仿宋_GB2312"/>
          <w:sz w:val="32"/>
          <w:szCs w:val="32"/>
        </w:rPr>
        <w:t>电子政务网络</w:t>
      </w:r>
      <w:r>
        <w:rPr>
          <w:rFonts w:hint="eastAsia" w:ascii="仿宋_GB2312" w:hAnsi="仿宋_GB2312" w:eastAsia="仿宋_GB2312" w:cs="仿宋_GB2312"/>
          <w:sz w:val="32"/>
          <w:szCs w:val="32"/>
          <w:lang w:eastAsia="zh-CN"/>
        </w:rPr>
        <w:t>安全稳定运行</w:t>
      </w:r>
      <w:r>
        <w:rPr>
          <w:rFonts w:hint="eastAsia" w:ascii="仿宋_GB2312" w:hAnsi="仿宋_GB2312" w:eastAsia="仿宋_GB2312" w:cs="仿宋_GB2312"/>
          <w:sz w:val="32"/>
          <w:szCs w:val="32"/>
        </w:rPr>
        <w:t>。</w:t>
      </w:r>
    </w:p>
    <w:p w14:paraId="612458EC">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城楼开放管理方面：</w:t>
      </w:r>
      <w:r>
        <w:rPr>
          <w:rFonts w:hint="eastAsia" w:ascii="仿宋_GB2312" w:hAnsi="仿宋_GB2312" w:eastAsia="仿宋_GB2312" w:cs="仿宋_GB2312"/>
          <w:color w:val="000000"/>
          <w:spacing w:val="-6"/>
          <w:sz w:val="32"/>
          <w:szCs w:val="32"/>
          <w:highlight w:val="none"/>
          <w:lang w:val="en-US" w:eastAsia="zh-CN"/>
        </w:rPr>
        <w:t>做好天安门城楼恢复开放后的</w:t>
      </w:r>
      <w:r>
        <w:rPr>
          <w:rFonts w:hint="eastAsia" w:ascii="仿宋_GB2312" w:hAnsi="仿宋_GB2312" w:eastAsia="仿宋_GB2312" w:cs="仿宋_GB2312"/>
          <w:sz w:val="32"/>
          <w:szCs w:val="32"/>
        </w:rPr>
        <w:t>安检安保、环境布置、卫生保洁、客流疏导、电子票务系统使用等工作，确保天安门城楼景观环境品质</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参观秩序良好。</w:t>
      </w:r>
    </w:p>
    <w:p w14:paraId="7EBF791B">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市政设施维护方面：</w:t>
      </w:r>
      <w:r>
        <w:rPr>
          <w:rFonts w:hint="eastAsia" w:ascii="仿宋_GB2312" w:hAnsi="仿宋_GB2312" w:eastAsia="仿宋_GB2312" w:cs="仿宋_GB2312"/>
          <w:sz w:val="32"/>
          <w:szCs w:val="32"/>
          <w:lang w:val="en-US" w:eastAsia="zh-CN"/>
        </w:rPr>
        <w:t>完成天安门地区夜景照明、护栏、防撞立柱、标示牌、水下护网、地砖、金水河喷泉等设施定期巡视、检查维护、重大活动节日期间服务保障及设施购置工作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6"/>
          <w:kern w:val="2"/>
          <w:sz w:val="32"/>
          <w:szCs w:val="32"/>
          <w:highlight w:val="none"/>
          <w:lang w:val="en-US" w:eastAsia="zh-CN" w:bidi="ar-SA"/>
        </w:rPr>
        <w:t>夜景照明设施亮灯率保持100%</w:t>
      </w:r>
      <w:r>
        <w:rPr>
          <w:rFonts w:hint="eastAsia" w:ascii="仿宋_GB2312" w:hAnsi="仿宋_GB2312" w:eastAsia="仿宋_GB2312" w:cs="仿宋_GB2312"/>
          <w:sz w:val="32"/>
          <w:szCs w:val="32"/>
        </w:rPr>
        <w:t>。</w:t>
      </w:r>
    </w:p>
    <w:p w14:paraId="18DEFD4A">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产出质量</w:t>
      </w:r>
    </w:p>
    <w:p w14:paraId="1F676AB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评价分析认为：天安门地区管委会按照市委市政府统一部署，多措并举统筹推进年度重点任务贯彻落实。各项产出质量完成情况较好。表现在：</w:t>
      </w:r>
    </w:p>
    <w:p w14:paraId="3964355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（1）公共安全服务类项目均达到预期服务质量标准，维护巩固了地区安全稳定局面。</w:t>
      </w:r>
    </w:p>
    <w:p w14:paraId="6E1599E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（2）维修维护类项目通过例行检修和常态化值守等方式，及时发现并处理解决设备设施故障，确保了地区各项设备设施正常运行。</w:t>
      </w:r>
    </w:p>
    <w:p w14:paraId="3A33EC1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（3）信息化类项目均按计划顺利开展，全年各类系统安全平稳运行。</w:t>
      </w:r>
    </w:p>
    <w:p w14:paraId="6F3A39E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（4）设备设施购置类项目均通过验收，符合预期质量要求。</w:t>
      </w:r>
    </w:p>
    <w:p w14:paraId="5FDC86E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（5）课题研究类项目符合上级部门工作要求，并通过部门评审验收，研究成果符合要求。</w:t>
      </w:r>
    </w:p>
    <w:p w14:paraId="10A90C7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（6）履职辅助类项目及后勤服务保障类项目按照上级各项要求和单位实际需要开展工作，各项服务质量合规，保障了单位正常运行和业务正常开展。</w:t>
      </w:r>
    </w:p>
    <w:p w14:paraId="7683EDE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（7）其他签订合同项目通过在合同中明确服务成果及质量要求，严格履约验收，确保实施质量。</w:t>
      </w:r>
    </w:p>
    <w:p w14:paraId="3014BAC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3.产出进度</w:t>
      </w:r>
    </w:p>
    <w:p w14:paraId="6101B81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分析认为：天安门地区管委会严格按照2023年部门工作思路和重点目标任务对年度工作进行细化分解，各项重点工作制定了翔实的组织实施方案，明确了时间进度安排与人员分工，为顺利完成各项工作奠定了良好的基础。在具体实施过程中，各项工作按照既定节奏有序推进，将产出进度控制在合理预期范围内。</w:t>
      </w:r>
    </w:p>
    <w:p w14:paraId="2A1FFE1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4.产出成本</w:t>
      </w:r>
    </w:p>
    <w:p w14:paraId="6AB7F00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分析认为：在项目实施过程中，天安门地区管委会严格按照本市财政、财务政策要求和标准进行开支。通过规范政府采购、强化项目管理等方式进一步控制项目成本。2023年度各项经费未出现超预算支出情况，实际成本控制在预算批复范围内。</w:t>
      </w:r>
    </w:p>
    <w:p w14:paraId="56747B6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hint="eastAsia" w:ascii="楷体_GB2312" w:eastAsia="楷体_GB2312"/>
          <w:bCs/>
          <w:sz w:val="32"/>
          <w:szCs w:val="32"/>
          <w:lang w:val="en-US" w:eastAsia="zh-CN"/>
        </w:rPr>
      </w:pPr>
      <w:bookmarkStart w:id="21" w:name="_Toc7170"/>
      <w:r>
        <w:rPr>
          <w:rFonts w:hint="eastAsia" w:ascii="楷体_GB2312" w:eastAsia="楷体_GB2312"/>
          <w:bCs/>
          <w:sz w:val="32"/>
          <w:szCs w:val="32"/>
          <w:lang w:val="en-US" w:eastAsia="zh-CN"/>
        </w:rPr>
        <w:t>（二）效果实现情况分析</w:t>
      </w:r>
      <w:bookmarkEnd w:id="21"/>
    </w:p>
    <w:p w14:paraId="06C20A9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评价分析认为：天安门地区管委会的部门产出主要为公共服务，以社会效益为主，具体表现在：</w:t>
      </w:r>
    </w:p>
    <w:p w14:paraId="4948E05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1.中央政务服务保障及重大活动组织保障能力持续增强。精准周密完成各项重大活动和重要节日服务保障任务，实施重要设施升级改造，展现了良好的国家形象。</w:t>
      </w:r>
    </w:p>
    <w:p w14:paraId="3BF6687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平安地区建设持续推进。加强“应急指挥中枢”功能，完善应急预案体系，地区客流监测预警管理系统建设初步完成。设立天安门院警务站，加强区域安保力量配置，完善物防设施建设，固化联防联控工作机制。持续深入开展安全生产和消防安全隐患大排查大整治专项行动，“零起火、零冒烟、零事故”的防范成效持续得到巩固。</w:t>
      </w:r>
    </w:p>
    <w:p w14:paraId="45C32AE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公共服务保障水平持续提升。天安门城楼恢复对外开放平稳有序，改进提升城楼电子票务系统服务功能。持续优化广场参观预约系统功能，满足群众参观需求。有序恢复志愿服务活动，为广大群众提供现场咨询服务。及时调整临时厕所设置安排，满足升旗后瞬时客流集中如厕需求，创新局部集中客流环卫作业工作模式，持续巩固“双三”标准工作成效，确保天安门地区干净、整洁，提高游客体验感、获得感、满足感。 </w:t>
      </w:r>
    </w:p>
    <w:p w14:paraId="0C8A73F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地区环境治理精细化水平持续提升。推进市政设施更新，维修改造了天安门院朝房电气系统，加强夜景照明设施维护保养，始终保持100%亮灯率。固化24小时专人驻场值守维护机制，用绣花的功夫做好护栏立柱、无障碍设施、地砖维护等工作。高标准推进中轴线申遗保护重点任务落实，安全拆除并改造影响外金水桥文物本体的管线设施，统筹协调拆除中山公园内原部队食堂临时建筑物，恢复环境风貌。</w:t>
      </w:r>
    </w:p>
    <w:p w14:paraId="5304396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对象满意度水平较高。满意度收集渠道包括天安门地区管委会在官方网站上设置的“调查问卷”专栏、对外联系电话、综合绩效管理中开展的驻区单位满意度和社会满意度调查。从网上收集的群众反映资料来看，北京市民和中外游客对天安门地区管委会相关部门的服务保障工作满意度较高；从对外联系电话的统计数据来看，涉及管委会管理职责的投诉类诉求较少；从驻区单位满意度调查来看，对履职成效满意度较高；参观群众社会满意度调查整体满意度达95%。</w:t>
      </w:r>
    </w:p>
    <w:p w14:paraId="7EFC042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0"/>
        <w:rPr>
          <w:rFonts w:hint="eastAsia" w:ascii="黑体" w:hAnsi="黑体" w:eastAsia="黑体" w:cs="宋体"/>
          <w:color w:val="000000"/>
          <w:kern w:val="0"/>
          <w:sz w:val="32"/>
          <w:szCs w:val="32"/>
        </w:rPr>
      </w:pPr>
      <w:bookmarkStart w:id="22" w:name="_Toc21355"/>
      <w:bookmarkStart w:id="23" w:name="_Toc4480"/>
      <w:bookmarkStart w:id="24" w:name="_Toc18905"/>
      <w:bookmarkStart w:id="25" w:name="_Toc6982"/>
      <w:r>
        <w:rPr>
          <w:rFonts w:hint="eastAsia" w:ascii="黑体" w:hAnsi="黑体" w:eastAsia="黑体" w:cs="宋体"/>
          <w:color w:val="000000"/>
          <w:kern w:val="0"/>
          <w:sz w:val="32"/>
          <w:szCs w:val="32"/>
        </w:rPr>
        <w:t>四、预算管理情况分析</w:t>
      </w:r>
      <w:bookmarkEnd w:id="22"/>
      <w:bookmarkEnd w:id="23"/>
      <w:bookmarkEnd w:id="24"/>
      <w:bookmarkEnd w:id="25"/>
      <w:bookmarkStart w:id="26" w:name="_Toc16709"/>
      <w:bookmarkStart w:id="27" w:name="_Toc19727"/>
      <w:bookmarkStart w:id="28" w:name="_Toc31386"/>
    </w:p>
    <w:p w14:paraId="5616F1E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hint="eastAsia" w:ascii="楷体_GB2312" w:eastAsia="楷体_GB2312"/>
          <w:bCs/>
          <w:sz w:val="32"/>
          <w:szCs w:val="32"/>
        </w:rPr>
      </w:pPr>
      <w:bookmarkStart w:id="29" w:name="_Toc22463"/>
      <w:r>
        <w:rPr>
          <w:rFonts w:hint="eastAsia" w:ascii="楷体_GB2312" w:eastAsia="楷体_GB2312"/>
          <w:bCs/>
          <w:sz w:val="32"/>
          <w:szCs w:val="32"/>
        </w:rPr>
        <w:t>（一）财务管理</w:t>
      </w:r>
      <w:bookmarkEnd w:id="26"/>
      <w:bookmarkEnd w:id="27"/>
      <w:bookmarkEnd w:id="28"/>
      <w:bookmarkEnd w:id="29"/>
    </w:p>
    <w:p w14:paraId="38F7096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财务制度健全性</w:t>
      </w:r>
    </w:p>
    <w:p w14:paraId="7DC7B23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为加强财务管理和规范资金使用，天安门地区管委会依据《中华人民共和国预算法》《行政事业单位内部控制规范（试行）》《政府会计制度》等法律法规，结合委实际情况，以内部控制体系建设为抓手，</w:t>
      </w:r>
      <w:r>
        <w:rPr>
          <w:rFonts w:hint="eastAsia" w:ascii="仿宋_GB2312" w:hAnsi="仿宋_GB2312" w:eastAsia="仿宋_GB2312" w:cs="仿宋_GB2312"/>
          <w:sz w:val="32"/>
          <w:szCs w:val="32"/>
          <w:lang w:val="en-US" w:eastAsia="zh-CN"/>
        </w:rPr>
        <w:t>2023年先后修订制定</w:t>
      </w:r>
      <w:r>
        <w:rPr>
          <w:rFonts w:hint="eastAsia" w:ascii="仿宋_GB2312" w:hAnsi="仿宋_GB2312" w:eastAsia="仿宋_GB2312" w:cs="仿宋_GB2312"/>
          <w:sz w:val="32"/>
          <w:szCs w:val="32"/>
        </w:rPr>
        <w:t>了采购管理、预算管理、</w:t>
      </w:r>
      <w:r>
        <w:rPr>
          <w:rFonts w:hint="eastAsia" w:ascii="仿宋_GB2312" w:hAnsi="仿宋_GB2312" w:eastAsia="仿宋_GB2312" w:cs="仿宋_GB2312"/>
          <w:sz w:val="32"/>
          <w:szCs w:val="32"/>
          <w:lang w:eastAsia="zh-CN"/>
        </w:rPr>
        <w:t>预算绩效管理、财务收支</w:t>
      </w:r>
      <w:r>
        <w:rPr>
          <w:rFonts w:hint="eastAsia" w:ascii="仿宋_GB2312" w:hAnsi="仿宋_GB2312" w:eastAsia="仿宋_GB2312" w:cs="仿宋_GB2312"/>
          <w:sz w:val="32"/>
          <w:szCs w:val="32"/>
        </w:rPr>
        <w:t>管理、资产管理、合同管理等制度，财务管理制度不断完善。</w:t>
      </w:r>
    </w:p>
    <w:p w14:paraId="0D5999D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2.资金使用合规性和安全性</w:t>
      </w:r>
    </w:p>
    <w:p w14:paraId="78EB001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在资金使用方面，实行统一领导、</w:t>
      </w:r>
      <w:r>
        <w:rPr>
          <w:rFonts w:hint="eastAsia" w:ascii="仿宋_GB2312" w:hAnsi="仿宋_GB2312" w:eastAsia="仿宋_GB2312" w:cs="仿宋_GB2312"/>
          <w:sz w:val="32"/>
          <w:szCs w:val="32"/>
          <w:lang w:eastAsia="zh-CN"/>
        </w:rPr>
        <w:t>分级管理、</w:t>
      </w:r>
      <w:r>
        <w:rPr>
          <w:rFonts w:hint="eastAsia" w:ascii="仿宋_GB2312" w:hAnsi="仿宋_GB2312" w:eastAsia="仿宋_GB2312" w:cs="仿宋_GB2312"/>
          <w:sz w:val="32"/>
          <w:szCs w:val="32"/>
        </w:rPr>
        <w:t>授权审批的管理体制，确保资金使用合规和安全。在预算执行和资金使用层面，严格执行相关财务、预算、采购、资产、工程、合同等管理制度</w:t>
      </w:r>
      <w:r>
        <w:rPr>
          <w:rFonts w:hint="eastAsia" w:ascii="仿宋_GB2312" w:hAnsi="仿宋_GB2312" w:eastAsia="仿宋_GB2312" w:cs="仿宋_GB2312"/>
          <w:sz w:val="32"/>
          <w:szCs w:val="32"/>
          <w:lang w:eastAsia="zh-CN"/>
        </w:rPr>
        <w:t>及委“三重一大”事项集体决策制度</w:t>
      </w:r>
      <w:r>
        <w:rPr>
          <w:rFonts w:hint="eastAsia" w:ascii="仿宋_GB2312" w:hAnsi="仿宋_GB2312" w:eastAsia="仿宋_GB2312" w:cs="仿宋_GB2312"/>
          <w:sz w:val="32"/>
          <w:szCs w:val="32"/>
        </w:rPr>
        <w:t>；政府采购支出、政府购买服务、“三公”经费、培训费支出等严格按预算批复执行；</w:t>
      </w:r>
      <w:r>
        <w:rPr>
          <w:rFonts w:hint="eastAsia" w:ascii="仿宋_GB2312" w:hAnsi="仿宋_GB2312" w:eastAsia="仿宋_GB2312" w:cs="仿宋_GB2312"/>
          <w:sz w:val="32"/>
          <w:szCs w:val="32"/>
          <w:lang w:eastAsia="zh-CN"/>
        </w:rPr>
        <w:t>动态优化提升</w:t>
      </w:r>
      <w:r>
        <w:rPr>
          <w:rFonts w:hint="eastAsia" w:ascii="仿宋_GB2312" w:hAnsi="仿宋_GB2312" w:eastAsia="仿宋_GB2312" w:cs="仿宋_GB2312"/>
          <w:sz w:val="32"/>
          <w:szCs w:val="32"/>
        </w:rPr>
        <w:t>内控管理平台</w:t>
      </w:r>
      <w:r>
        <w:rPr>
          <w:rFonts w:hint="eastAsia" w:ascii="仿宋_GB2312" w:hAnsi="仿宋_GB2312" w:eastAsia="仿宋_GB2312" w:cs="仿宋_GB2312"/>
          <w:sz w:val="32"/>
          <w:szCs w:val="32"/>
          <w:lang w:eastAsia="zh-CN"/>
        </w:rPr>
        <w:t>功能</w:t>
      </w:r>
      <w:r>
        <w:rPr>
          <w:rFonts w:hint="eastAsia" w:ascii="仿宋_GB2312" w:hAnsi="仿宋_GB2312" w:eastAsia="仿宋_GB2312" w:cs="仿宋_GB2312"/>
          <w:sz w:val="32"/>
          <w:szCs w:val="32"/>
        </w:rPr>
        <w:t>，通过内控制度、经费标准、业务流程的系统集成，实现了资金使用的全流程电子化、可追溯。在资金使用监管上，除日常财务监督外，各归口管理部门发挥职能监督作用，严格审计监督、纪检监察，强化财经纪律的刚性，有效防范重大经济风险。</w:t>
      </w:r>
      <w:bookmarkStart w:id="30" w:name="_Toc12409"/>
      <w:bookmarkStart w:id="31" w:name="_Toc24440"/>
      <w:bookmarkStart w:id="32" w:name="_Toc5950"/>
    </w:p>
    <w:p w14:paraId="14DFB7E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3.会计基础信息完善性</w:t>
      </w:r>
    </w:p>
    <w:p w14:paraId="164E0CC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default" w:ascii="仿宋_GB2312" w:hAnsi="仿宋_GB2312" w:eastAsia="仿宋_GB2312" w:cs="仿宋_GB2312"/>
          <w:sz w:val="32"/>
          <w:szCs w:val="32"/>
        </w:rPr>
        <w:t>天安门地区管委会严格按照《中华人</w:t>
      </w:r>
      <w:r>
        <w:rPr>
          <w:rFonts w:hint="eastAsia" w:ascii="仿宋_GB2312" w:hAnsi="仿宋_GB2312" w:eastAsia="仿宋_GB2312" w:cs="仿宋_GB2312"/>
          <w:sz w:val="32"/>
          <w:szCs w:val="32"/>
        </w:rPr>
        <w:t>民共和国会计法》《中华人民共和国预算法》《政府会计准则——基本准则》《政府会计制度——行政事业单位会计科目和报表》等要求，对各项经济业务进行会计核算，具备财务会计与预算会计双重功能，能够全面、清晰地反映财务信息和预算执行信息。规范了会计核算，保证基础数据信息和会计信息资料的真实、完整和准确。</w:t>
      </w:r>
    </w:p>
    <w:p w14:paraId="00BFA1F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ascii="楷体_GB2312" w:eastAsia="楷体_GB2312"/>
          <w:bCs/>
          <w:sz w:val="32"/>
          <w:szCs w:val="32"/>
        </w:rPr>
      </w:pPr>
      <w:bookmarkStart w:id="33" w:name="_Toc4733"/>
      <w:r>
        <w:rPr>
          <w:rFonts w:hint="eastAsia" w:ascii="楷体_GB2312" w:eastAsia="楷体_GB2312"/>
          <w:sz w:val="32"/>
          <w:szCs w:val="32"/>
        </w:rPr>
        <w:t>（二）资产管理</w:t>
      </w:r>
      <w:bookmarkEnd w:id="30"/>
      <w:bookmarkEnd w:id="31"/>
      <w:bookmarkEnd w:id="32"/>
      <w:bookmarkEnd w:id="33"/>
    </w:p>
    <w:p w14:paraId="53BD0DB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rPr>
      </w:pPr>
      <w:bookmarkStart w:id="34" w:name="_Toc14210"/>
      <w:bookmarkStart w:id="35" w:name="_Toc18561"/>
      <w:bookmarkStart w:id="36" w:name="_Toc23561"/>
      <w:r>
        <w:rPr>
          <w:rFonts w:hint="eastAsia" w:ascii="仿宋_GB2312" w:hAnsi="仿宋_GB2312" w:eastAsia="仿宋_GB2312" w:cs="仿宋_GB2312"/>
          <w:sz w:val="32"/>
          <w:szCs w:val="32"/>
        </w:rPr>
        <w:t>天安门地区管委会资产管理实行统一政策、统一领导、分级管理、职责到部门到人、物尽其用的原则。建立了财务主管、综合服务中心管实物、各处室主责、资产管理员具体实施的四级管理体制，确保资产管理从统筹、组织、实施等各环节责权清晰。依据有关资产管理的制度法规，结合本单位实际，</w:t>
      </w:r>
      <w:r>
        <w:rPr>
          <w:rFonts w:hint="eastAsia" w:ascii="仿宋_GB2312" w:hAnsi="仿宋_GB2312" w:eastAsia="仿宋_GB2312" w:cs="仿宋_GB2312"/>
          <w:sz w:val="32"/>
          <w:szCs w:val="32"/>
          <w:lang w:eastAsia="zh-CN"/>
        </w:rPr>
        <w:t>修订完善</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天安门地区管委会</w:t>
      </w:r>
      <w:r>
        <w:rPr>
          <w:rFonts w:hint="eastAsia" w:ascii="仿宋_GB2312" w:hAnsi="仿宋_GB2312" w:eastAsia="仿宋_GB2312" w:cs="仿宋_GB2312"/>
          <w:sz w:val="32"/>
          <w:szCs w:val="32"/>
        </w:rPr>
        <w:t>固定资产管理办法》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合理配备并节约、有效使用资产，保障资产的安全和完整。</w:t>
      </w:r>
    </w:p>
    <w:p w14:paraId="2538803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ascii="楷体_GB2312" w:eastAsia="楷体_GB2312"/>
          <w:bCs/>
          <w:sz w:val="32"/>
          <w:szCs w:val="32"/>
        </w:rPr>
      </w:pPr>
      <w:bookmarkStart w:id="37" w:name="_Toc29923"/>
      <w:r>
        <w:rPr>
          <w:rFonts w:hint="eastAsia" w:ascii="楷体_GB2312" w:eastAsia="楷体_GB2312"/>
          <w:bCs/>
          <w:sz w:val="32"/>
          <w:szCs w:val="32"/>
        </w:rPr>
        <w:t>（三）绩效管理</w:t>
      </w:r>
      <w:bookmarkEnd w:id="34"/>
      <w:bookmarkEnd w:id="35"/>
      <w:bookmarkEnd w:id="36"/>
      <w:bookmarkEnd w:id="37"/>
    </w:p>
    <w:p w14:paraId="0ADC85E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rPr>
      </w:pPr>
      <w:bookmarkStart w:id="38" w:name="_Toc5586"/>
      <w:bookmarkStart w:id="39" w:name="_Toc26533"/>
      <w:bookmarkStart w:id="40" w:name="_Toc9710"/>
      <w:r>
        <w:rPr>
          <w:rFonts w:hint="eastAsia" w:ascii="仿宋_GB2312" w:hAnsi="仿宋_GB2312" w:eastAsia="仿宋_GB2312" w:cs="仿宋_GB2312"/>
          <w:sz w:val="32"/>
          <w:szCs w:val="32"/>
        </w:rPr>
        <w:t>天安门地区管委会逐步建立了“预算编制有目标、预算执行有监控、预算完成有评价、评价结果有反馈、反馈结果有应用”的全过程预算绩效管理机制，</w:t>
      </w:r>
      <w:r>
        <w:rPr>
          <w:rFonts w:hint="eastAsia" w:ascii="仿宋_GB2312" w:hAnsi="仿宋_GB2312" w:eastAsia="仿宋_GB2312" w:cs="仿宋_GB2312"/>
          <w:sz w:val="32"/>
          <w:szCs w:val="32"/>
          <w:lang w:eastAsia="zh-CN"/>
        </w:rPr>
        <w:t>制定了《天安门地区管委会预算绩效管理办法》，</w:t>
      </w:r>
      <w:r>
        <w:rPr>
          <w:rFonts w:hint="eastAsia" w:ascii="仿宋_GB2312" w:hAnsi="仿宋_GB2312" w:eastAsia="仿宋_GB2312" w:cs="仿宋_GB2312"/>
          <w:sz w:val="32"/>
          <w:szCs w:val="32"/>
        </w:rPr>
        <w:t>强化“以绩效为中心、对支出结果负责、对社会公众负责”的理念，不断提高财政资金使用效率。</w:t>
      </w:r>
    </w:p>
    <w:p w14:paraId="76F8A66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在绩效目标的编制阶段，不断强化部门及项目负责人的预算绩效管理意识，将2023年部门预算项目全部纳入绩效目标填报范围，按时完成了项目绩效目标申报表的审核及系统录入工作。</w:t>
      </w:r>
    </w:p>
    <w:p w14:paraId="0F6D63D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在绩效运行监控阶段，加强预算绩效动态监控管理，对项目实施中存在的具体问题采取及时纠偏措施，以确保项目实施与绩效目标相一致。2023年天安门地区管委会并未出现绩效产出与绩效目标严重偏离的现象。</w:t>
      </w:r>
    </w:p>
    <w:p w14:paraId="0D3EE9A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在预算支出绩效评价阶段，天安门地区管委会根据要求对2022年度的部门预算项目通过自评实施了绩效评价的全覆盖；同步开展部门整体绩效评价，全方位把握部门整体预算执行、绩效目标实现和预算管理情况，及时形成并提交了评价成果。</w:t>
      </w:r>
    </w:p>
    <w:p w14:paraId="56B4161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ascii="楷体_GB2312" w:eastAsia="楷体_GB2312"/>
          <w:bCs/>
          <w:sz w:val="32"/>
          <w:szCs w:val="32"/>
        </w:rPr>
      </w:pPr>
      <w:bookmarkStart w:id="41" w:name="_Toc5627"/>
      <w:r>
        <w:rPr>
          <w:rFonts w:hint="eastAsia" w:ascii="楷体_GB2312" w:eastAsia="楷体_GB2312"/>
          <w:bCs/>
          <w:sz w:val="32"/>
          <w:szCs w:val="32"/>
        </w:rPr>
        <w:t>（四）结转结余率</w:t>
      </w:r>
      <w:bookmarkEnd w:id="38"/>
      <w:bookmarkEnd w:id="39"/>
      <w:bookmarkEnd w:id="40"/>
      <w:bookmarkEnd w:id="41"/>
    </w:p>
    <w:p w14:paraId="48BF9C2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highlight w:val="none"/>
          <w:lang w:val="en-US" w:eastAsia="zh-CN"/>
        </w:rPr>
      </w:pPr>
      <w:bookmarkStart w:id="42" w:name="_Toc14692"/>
      <w:bookmarkStart w:id="43" w:name="_Toc2548"/>
      <w:bookmarkStart w:id="44" w:name="_Toc22969"/>
      <w:r>
        <w:rPr>
          <w:rFonts w:hint="eastAsia" w:ascii="仿宋_GB2312" w:hAnsi="仿宋_GB2312" w:eastAsia="仿宋_GB2312" w:cs="仿宋_GB2312"/>
          <w:sz w:val="32"/>
          <w:szCs w:val="32"/>
          <w:highlight w:val="none"/>
        </w:rPr>
        <w:t>2023年年末结转结余1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354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56</w:t>
      </w:r>
      <w:r>
        <w:rPr>
          <w:rFonts w:hint="eastAsia" w:ascii="仿宋_GB2312" w:hAnsi="仿宋_GB2312" w:eastAsia="仿宋_GB2312" w:cs="仿宋_GB2312"/>
          <w:sz w:val="32"/>
          <w:szCs w:val="32"/>
          <w:highlight w:val="none"/>
          <w:lang w:eastAsia="zh-CN"/>
        </w:rPr>
        <w:t>万</w:t>
      </w:r>
      <w:r>
        <w:rPr>
          <w:rFonts w:hint="eastAsia" w:ascii="仿宋_GB2312" w:hAnsi="仿宋_GB2312" w:eastAsia="仿宋_GB2312" w:cs="仿宋_GB2312"/>
          <w:sz w:val="32"/>
          <w:szCs w:val="32"/>
          <w:highlight w:val="none"/>
        </w:rPr>
        <w:t>元，2023年支出预算数23,620.31</w:t>
      </w:r>
      <w:r>
        <w:rPr>
          <w:rFonts w:hint="eastAsia" w:ascii="仿宋_GB2312" w:hAnsi="仿宋_GB2312" w:eastAsia="仿宋_GB2312" w:cs="仿宋_GB2312"/>
          <w:sz w:val="32"/>
          <w:szCs w:val="32"/>
          <w:highlight w:val="none"/>
          <w:lang w:eastAsia="zh-CN"/>
        </w:rPr>
        <w:t>万</w:t>
      </w:r>
      <w:r>
        <w:rPr>
          <w:rFonts w:hint="eastAsia" w:ascii="仿宋_GB2312" w:hAnsi="仿宋_GB2312" w:eastAsia="仿宋_GB2312" w:cs="仿宋_GB2312"/>
          <w:sz w:val="32"/>
          <w:szCs w:val="32"/>
          <w:highlight w:val="none"/>
        </w:rPr>
        <w:t>元，结转结余率为5.73%。</w:t>
      </w:r>
      <w:r>
        <w:rPr>
          <w:rFonts w:hint="eastAsia" w:ascii="仿宋_GB2312" w:hAnsi="仿宋_GB2312" w:eastAsia="仿宋_GB2312" w:cs="仿宋_GB2312"/>
          <w:sz w:val="32"/>
          <w:szCs w:val="32"/>
          <w:highlight w:val="none"/>
          <w:lang w:eastAsia="zh-CN"/>
        </w:rPr>
        <w:t>其中：财政拨款结转结余</w:t>
      </w:r>
      <w:r>
        <w:rPr>
          <w:rFonts w:hint="eastAsia" w:ascii="仿宋_GB2312" w:hAnsi="仿宋" w:eastAsia="仿宋_GB2312" w:cs="Times New Roman"/>
          <w:color w:val="auto"/>
          <w:sz w:val="32"/>
          <w:szCs w:val="32"/>
          <w:highlight w:val="none"/>
          <w:lang w:val="en-US" w:eastAsia="zh-CN"/>
        </w:rPr>
        <w:t>752.11万元，财政拨款</w:t>
      </w:r>
      <w:r>
        <w:rPr>
          <w:rFonts w:hint="eastAsia" w:ascii="仿宋_GB2312" w:hAnsi="仿宋_GB2312" w:eastAsia="仿宋_GB2312" w:cs="仿宋_GB2312"/>
          <w:sz w:val="32"/>
          <w:szCs w:val="32"/>
          <w:highlight w:val="none"/>
        </w:rPr>
        <w:t>支出预算数</w:t>
      </w:r>
      <w:r>
        <w:rPr>
          <w:rFonts w:hint="eastAsia" w:ascii="仿宋_GB2312" w:hAnsi="仿宋" w:eastAsia="仿宋_GB2312" w:cs="Times New Roman"/>
          <w:color w:val="auto"/>
          <w:sz w:val="32"/>
          <w:szCs w:val="32"/>
          <w:highlight w:val="none"/>
          <w:lang w:val="en-US" w:eastAsia="zh-CN"/>
        </w:rPr>
        <w:t>22,966.78万元，财政拨款结转结余率为2.62%。</w:t>
      </w:r>
    </w:p>
    <w:p w14:paraId="765E6AB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2022年年末结转结余1,271.01万元，2022年支出预算数24,825.26万元，结转结余率为5.12%。</w:t>
      </w:r>
      <w:r>
        <w:rPr>
          <w:rFonts w:hint="eastAsia" w:ascii="仿宋_GB2312" w:hAnsi="仿宋_GB2312" w:eastAsia="仿宋_GB2312" w:cs="仿宋_GB2312"/>
          <w:sz w:val="32"/>
          <w:szCs w:val="32"/>
          <w:highlight w:val="none"/>
          <w:lang w:eastAsia="zh-CN"/>
        </w:rPr>
        <w:t>其中：财政拨款结转结余880.20</w:t>
      </w:r>
      <w:r>
        <w:rPr>
          <w:rFonts w:hint="eastAsia" w:ascii="仿宋_GB2312" w:hAnsi="仿宋" w:eastAsia="仿宋_GB2312" w:cs="Times New Roman"/>
          <w:color w:val="auto"/>
          <w:sz w:val="32"/>
          <w:szCs w:val="32"/>
          <w:highlight w:val="none"/>
          <w:lang w:val="en-US" w:eastAsia="zh-CN"/>
        </w:rPr>
        <w:t>万元，财政拨款</w:t>
      </w:r>
      <w:r>
        <w:rPr>
          <w:rFonts w:hint="eastAsia" w:ascii="仿宋_GB2312" w:hAnsi="仿宋_GB2312" w:eastAsia="仿宋_GB2312" w:cs="仿宋_GB2312"/>
          <w:sz w:val="32"/>
          <w:szCs w:val="32"/>
          <w:highlight w:val="none"/>
        </w:rPr>
        <w:t>支出预算数</w:t>
      </w:r>
      <w:r>
        <w:rPr>
          <w:rFonts w:hint="eastAsia" w:ascii="仿宋_GB2312" w:hAnsi="仿宋" w:eastAsia="仿宋_GB2312" w:cs="Times New Roman"/>
          <w:color w:val="auto"/>
          <w:sz w:val="32"/>
          <w:szCs w:val="32"/>
          <w:highlight w:val="none"/>
          <w:lang w:val="en-US" w:eastAsia="zh-CN"/>
        </w:rPr>
        <w:t>24,384.45万元，财政拨款结转结余率为3.61%。</w:t>
      </w:r>
    </w:p>
    <w:p w14:paraId="128290F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对比可知，结转结余率</w:t>
      </w:r>
      <w:r>
        <w:rPr>
          <w:rFonts w:hint="eastAsia" w:ascii="仿宋_GB2312" w:hAnsi="仿宋_GB2312" w:eastAsia="仿宋_GB2312" w:cs="仿宋_GB2312"/>
          <w:sz w:val="32"/>
          <w:szCs w:val="32"/>
          <w:highlight w:val="none"/>
          <w:lang w:eastAsia="zh-CN"/>
        </w:rPr>
        <w:t>符合规定</w:t>
      </w:r>
      <w:r>
        <w:rPr>
          <w:rFonts w:hint="eastAsia" w:ascii="仿宋_GB2312" w:hAnsi="仿宋_GB2312" w:eastAsia="仿宋_GB2312" w:cs="仿宋_GB2312"/>
          <w:sz w:val="32"/>
          <w:szCs w:val="32"/>
          <w:highlight w:val="none"/>
        </w:rPr>
        <w:t>。</w:t>
      </w:r>
    </w:p>
    <w:p w14:paraId="315BEFD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ascii="楷体_GB2312" w:eastAsia="楷体_GB2312"/>
          <w:bCs/>
          <w:sz w:val="32"/>
          <w:szCs w:val="32"/>
          <w:highlight w:val="none"/>
        </w:rPr>
      </w:pPr>
      <w:bookmarkStart w:id="45" w:name="_Toc6473"/>
      <w:r>
        <w:rPr>
          <w:rFonts w:hint="eastAsia" w:ascii="楷体_GB2312" w:eastAsia="楷体_GB2312"/>
          <w:bCs/>
          <w:sz w:val="32"/>
          <w:szCs w:val="32"/>
          <w:highlight w:val="none"/>
        </w:rPr>
        <w:t>（五）部门预决算差异率</w:t>
      </w:r>
      <w:bookmarkEnd w:id="42"/>
      <w:bookmarkEnd w:id="43"/>
      <w:bookmarkEnd w:id="44"/>
      <w:bookmarkEnd w:id="45"/>
    </w:p>
    <w:p w14:paraId="70CF50C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highlight w:val="none"/>
        </w:rPr>
      </w:pPr>
      <w:bookmarkStart w:id="46" w:name="_Toc17300"/>
      <w:bookmarkStart w:id="47" w:name="_Toc24471"/>
      <w:bookmarkStart w:id="48" w:name="_Toc22801"/>
      <w:r>
        <w:rPr>
          <w:rFonts w:hint="eastAsia" w:ascii="仿宋_GB2312" w:hAnsi="仿宋_GB2312" w:eastAsia="仿宋_GB2312" w:cs="仿宋_GB2312"/>
          <w:sz w:val="32"/>
          <w:szCs w:val="32"/>
          <w:highlight w:val="none"/>
        </w:rPr>
        <w:t>天安门地区管委会2023年年初预算数21,571.73万元，其中：基本支出11,389.45万元，项目支出10,182.28万元。</w:t>
      </w:r>
    </w:p>
    <w:p w14:paraId="08F2B25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2023年度决算数22,265.74万元，其中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基本支出11,018.59万元，项目支出11,247.15万元。</w:t>
      </w:r>
    </w:p>
    <w:p w14:paraId="3DFEECE2">
      <w:pPr>
        <w:keepNext w:val="0"/>
        <w:keepLines w:val="0"/>
        <w:pageBreakBefore w:val="0"/>
        <w:kinsoku/>
        <w:wordWrap/>
        <w:overflowPunct/>
        <w:topLinePunct w:val="0"/>
        <w:autoSpaceDE/>
        <w:autoSpaceDN/>
        <w:bidi w:val="0"/>
        <w:snapToGrid w:val="0"/>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计算可知，预决算差异数694.01</w:t>
      </w:r>
      <w:r>
        <w:rPr>
          <w:rFonts w:hint="eastAsia" w:ascii="仿宋_GB2312" w:hAnsi="仿宋_GB2312" w:eastAsia="仿宋_GB2312" w:cs="仿宋_GB2312"/>
          <w:sz w:val="32"/>
          <w:szCs w:val="32"/>
          <w:highlight w:val="none"/>
          <w:lang w:eastAsia="zh-CN"/>
        </w:rPr>
        <w:t>万</w:t>
      </w:r>
      <w:r>
        <w:rPr>
          <w:rFonts w:hint="eastAsia" w:ascii="仿宋_GB2312" w:hAnsi="仿宋_GB2312" w:eastAsia="仿宋_GB2312" w:cs="仿宋_GB2312"/>
          <w:sz w:val="32"/>
          <w:szCs w:val="32"/>
          <w:highlight w:val="none"/>
        </w:rPr>
        <w:t>元，</w:t>
      </w:r>
      <w:r>
        <w:rPr>
          <w:rFonts w:hint="eastAsia" w:ascii="仿宋_GB2312" w:hAnsi="宋体" w:eastAsia="仿宋_GB2312" w:cs="Times New Roman"/>
          <w:color w:val="auto"/>
          <w:sz w:val="32"/>
          <w:szCs w:val="32"/>
          <w:highlight w:val="none"/>
          <w:lang w:val="en-US" w:eastAsia="zh-CN"/>
        </w:rPr>
        <w:t>主要原因为</w:t>
      </w:r>
      <w:r>
        <w:rPr>
          <w:rFonts w:hint="eastAsia" w:ascii="仿宋_GB2312" w:hAnsi="宋体" w:eastAsia="仿宋_GB2312"/>
          <w:color w:val="auto"/>
          <w:sz w:val="32"/>
          <w:szCs w:val="32"/>
          <w:highlight w:val="none"/>
          <w:lang w:eastAsia="zh-CN"/>
        </w:rPr>
        <w:t>根据工作任务要求追加项目经费。预决算</w:t>
      </w:r>
      <w:r>
        <w:rPr>
          <w:rFonts w:hint="eastAsia" w:ascii="仿宋_GB2312" w:hAnsi="仿宋_GB2312" w:eastAsia="仿宋_GB2312" w:cs="仿宋_GB2312"/>
          <w:sz w:val="32"/>
          <w:szCs w:val="32"/>
          <w:highlight w:val="none"/>
        </w:rPr>
        <w:t>差异率为3.22%</w:t>
      </w:r>
      <w:r>
        <w:rPr>
          <w:rFonts w:hint="eastAsia" w:ascii="仿宋_GB2312" w:hAnsi="仿宋_GB2312" w:eastAsia="仿宋_GB2312" w:cs="仿宋_GB2312"/>
          <w:sz w:val="32"/>
          <w:szCs w:val="32"/>
          <w:highlight w:val="none"/>
          <w:lang w:eastAsia="zh-CN"/>
        </w:rPr>
        <w:t>，符合规定。</w:t>
      </w:r>
    </w:p>
    <w:p w14:paraId="659B532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0"/>
        <w:rPr>
          <w:rFonts w:hint="eastAsia" w:ascii="黑体" w:hAnsi="黑体" w:eastAsia="黑体" w:cs="宋体"/>
          <w:color w:val="000000"/>
          <w:kern w:val="0"/>
          <w:sz w:val="32"/>
          <w:szCs w:val="32"/>
        </w:rPr>
      </w:pPr>
      <w:bookmarkStart w:id="49" w:name="_Toc23888"/>
      <w:r>
        <w:rPr>
          <w:rFonts w:hint="eastAsia" w:ascii="黑体" w:hAnsi="黑体" w:eastAsia="黑体" w:cs="宋体"/>
          <w:color w:val="000000"/>
          <w:kern w:val="0"/>
          <w:sz w:val="32"/>
          <w:szCs w:val="32"/>
        </w:rPr>
        <w:t>五、总体评价结论</w:t>
      </w:r>
      <w:bookmarkEnd w:id="46"/>
      <w:bookmarkEnd w:id="47"/>
      <w:bookmarkEnd w:id="48"/>
      <w:bookmarkEnd w:id="49"/>
    </w:p>
    <w:p w14:paraId="77299DC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ascii="楷体_GB2312" w:eastAsia="楷体_GB2312"/>
          <w:bCs/>
          <w:sz w:val="32"/>
          <w:szCs w:val="32"/>
        </w:rPr>
      </w:pPr>
      <w:bookmarkStart w:id="50" w:name="_Toc19987"/>
      <w:bookmarkStart w:id="51" w:name="_Toc25174"/>
      <w:bookmarkStart w:id="52" w:name="_Toc19197"/>
      <w:bookmarkStart w:id="53" w:name="_Toc28469"/>
      <w:r>
        <w:rPr>
          <w:rFonts w:hint="eastAsia" w:ascii="楷体_GB2312" w:eastAsia="楷体_GB2312"/>
          <w:bCs/>
          <w:sz w:val="32"/>
          <w:szCs w:val="32"/>
        </w:rPr>
        <w:t>（一）评价得分情况</w:t>
      </w:r>
      <w:bookmarkEnd w:id="50"/>
      <w:bookmarkEnd w:id="51"/>
      <w:bookmarkEnd w:id="52"/>
      <w:bookmarkEnd w:id="53"/>
    </w:p>
    <w:p w14:paraId="3C3EDA3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经过综合评价，天安门地区管委会2023年度部门整体支出绩效评价综合得分</w:t>
      </w:r>
      <w:r>
        <w:rPr>
          <w:rFonts w:hint="eastAsia" w:ascii="仿宋_GB2312" w:hAnsi="仿宋_GB2312" w:eastAsia="仿宋_GB2312" w:cs="仿宋_GB2312"/>
          <w:sz w:val="32"/>
          <w:szCs w:val="32"/>
          <w:lang w:val="en-US" w:eastAsia="zh-CN"/>
        </w:rPr>
        <w:t>97.15</w:t>
      </w:r>
      <w:r>
        <w:rPr>
          <w:rFonts w:hint="eastAsia" w:ascii="仿宋_GB2312" w:hAnsi="仿宋_GB2312" w:eastAsia="仿宋_GB2312" w:cs="仿宋_GB2312"/>
          <w:sz w:val="32"/>
          <w:szCs w:val="32"/>
        </w:rPr>
        <w:t>分。</w:t>
      </w:r>
    </w:p>
    <w:p w14:paraId="7F107D89">
      <w:pPr>
        <w:pStyle w:val="17"/>
        <w:adjustRightInd w:val="0"/>
        <w:snapToGrid w:val="0"/>
        <w:spacing w:after="156" w:afterLines="50"/>
        <w:ind w:left="0" w:leftChars="0"/>
        <w:jc w:val="center"/>
        <w:textAlignment w:val="baseline"/>
        <w:rPr>
          <w:rFonts w:hint="eastAsia" w:ascii="宋体" w:hAnsi="宋体" w:eastAsia="宋体" w:cs="宋体"/>
          <w:b/>
          <w:bCs/>
          <w:sz w:val="28"/>
          <w:szCs w:val="28"/>
        </w:rPr>
      </w:pPr>
    </w:p>
    <w:p w14:paraId="5BBE43C9">
      <w:pPr>
        <w:pStyle w:val="17"/>
        <w:adjustRightInd w:val="0"/>
        <w:snapToGrid w:val="0"/>
        <w:spacing w:after="156" w:afterLines="50"/>
        <w:ind w:left="0" w:leftChars="0"/>
        <w:jc w:val="center"/>
        <w:textAlignment w:val="baseline"/>
        <w:rPr>
          <w:rFonts w:ascii="宋体" w:hAnsi="宋体" w:eastAsia="宋体" w:cs="宋体"/>
          <w:b/>
          <w:bCs/>
          <w:sz w:val="28"/>
          <w:szCs w:val="28"/>
        </w:rPr>
      </w:pPr>
      <w:r>
        <w:rPr>
          <w:rFonts w:hint="eastAsia" w:ascii="宋体" w:hAnsi="宋体" w:eastAsia="宋体" w:cs="宋体"/>
          <w:b/>
          <w:bCs/>
          <w:sz w:val="28"/>
          <w:szCs w:val="28"/>
        </w:rPr>
        <w:t>部门整体支出绩效评价得分表</w:t>
      </w:r>
    </w:p>
    <w:tbl>
      <w:tblPr>
        <w:tblStyle w:val="22"/>
        <w:tblW w:w="8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1"/>
        <w:gridCol w:w="2716"/>
        <w:gridCol w:w="2718"/>
      </w:tblGrid>
      <w:tr w14:paraId="0AC0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blHeader/>
          <w:jc w:val="center"/>
        </w:trPr>
        <w:tc>
          <w:tcPr>
            <w:tcW w:w="3052" w:type="dxa"/>
            <w:shd w:val="clear" w:color="auto" w:fill="BEBEBE"/>
            <w:vAlign w:val="center"/>
          </w:tcPr>
          <w:p w14:paraId="19D87A07">
            <w:pPr>
              <w:snapToGrid w:val="0"/>
              <w:jc w:val="center"/>
              <w:textAlignment w:val="baseline"/>
              <w:rPr>
                <w:rFonts w:ascii="宋体" w:hAnsi="宋体" w:eastAsia="宋体" w:cs="宋体"/>
                <w:b/>
                <w:sz w:val="24"/>
                <w:szCs w:val="24"/>
              </w:rPr>
            </w:pPr>
            <w:r>
              <w:rPr>
                <w:rFonts w:hint="eastAsia" w:ascii="宋体" w:hAnsi="宋体" w:eastAsia="宋体" w:cs="宋体"/>
                <w:b/>
                <w:sz w:val="24"/>
                <w:szCs w:val="24"/>
              </w:rPr>
              <w:t>评价内容</w:t>
            </w:r>
          </w:p>
        </w:tc>
        <w:tc>
          <w:tcPr>
            <w:tcW w:w="2715" w:type="dxa"/>
            <w:shd w:val="clear" w:color="auto" w:fill="BEBEBE"/>
            <w:vAlign w:val="center"/>
          </w:tcPr>
          <w:p w14:paraId="52F24B3B">
            <w:pPr>
              <w:snapToGrid w:val="0"/>
              <w:jc w:val="center"/>
              <w:textAlignment w:val="baseline"/>
              <w:rPr>
                <w:rFonts w:ascii="宋体" w:hAnsi="宋体" w:eastAsia="宋体" w:cs="宋体"/>
                <w:b/>
                <w:sz w:val="24"/>
                <w:szCs w:val="24"/>
              </w:rPr>
            </w:pPr>
            <w:r>
              <w:rPr>
                <w:rFonts w:hint="eastAsia" w:ascii="宋体" w:hAnsi="宋体" w:eastAsia="宋体" w:cs="宋体"/>
                <w:b/>
                <w:sz w:val="24"/>
                <w:szCs w:val="24"/>
              </w:rPr>
              <w:t>分值</w:t>
            </w:r>
          </w:p>
        </w:tc>
        <w:tc>
          <w:tcPr>
            <w:tcW w:w="2718" w:type="dxa"/>
            <w:shd w:val="clear" w:color="auto" w:fill="BEBEBE"/>
            <w:vAlign w:val="center"/>
          </w:tcPr>
          <w:p w14:paraId="5CD8ECAC">
            <w:pPr>
              <w:snapToGrid w:val="0"/>
              <w:jc w:val="center"/>
              <w:textAlignment w:val="baseline"/>
              <w:rPr>
                <w:rFonts w:ascii="宋体" w:hAnsi="宋体" w:eastAsia="宋体" w:cs="宋体"/>
                <w:b/>
                <w:sz w:val="24"/>
                <w:szCs w:val="24"/>
              </w:rPr>
            </w:pPr>
            <w:r>
              <w:rPr>
                <w:rFonts w:hint="eastAsia" w:ascii="宋体" w:hAnsi="宋体" w:eastAsia="宋体" w:cs="宋体"/>
                <w:b/>
                <w:sz w:val="24"/>
                <w:szCs w:val="24"/>
              </w:rPr>
              <w:t>评价得分</w:t>
            </w:r>
          </w:p>
        </w:tc>
      </w:tr>
      <w:tr w14:paraId="3809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3052" w:type="dxa"/>
            <w:vAlign w:val="center"/>
          </w:tcPr>
          <w:p w14:paraId="45ED5719">
            <w:pPr>
              <w:pStyle w:val="8"/>
              <w:snapToGrid w:val="0"/>
              <w:ind w:firstLine="0"/>
              <w:jc w:val="center"/>
              <w:textAlignment w:val="baseline"/>
              <w:rPr>
                <w:rFonts w:ascii="宋体" w:hAnsi="宋体" w:eastAsia="宋体" w:cs="宋体"/>
                <w:bCs/>
                <w:sz w:val="24"/>
                <w:szCs w:val="24"/>
              </w:rPr>
            </w:pPr>
            <w:r>
              <w:rPr>
                <w:rFonts w:hint="eastAsia" w:ascii="宋体" w:hAnsi="宋体" w:eastAsia="宋体" w:cs="宋体"/>
                <w:bCs/>
                <w:sz w:val="24"/>
                <w:szCs w:val="24"/>
              </w:rPr>
              <w:t>当年预算执行情况</w:t>
            </w:r>
          </w:p>
        </w:tc>
        <w:tc>
          <w:tcPr>
            <w:tcW w:w="2715" w:type="dxa"/>
            <w:vAlign w:val="center"/>
          </w:tcPr>
          <w:p w14:paraId="55BAFF66">
            <w:pPr>
              <w:snapToGrid w:val="0"/>
              <w:jc w:val="center"/>
              <w:textAlignment w:val="baseline"/>
              <w:rPr>
                <w:rFonts w:ascii="宋体" w:hAnsi="宋体" w:eastAsia="宋体" w:cs="宋体"/>
                <w:bCs/>
                <w:sz w:val="24"/>
                <w:szCs w:val="24"/>
              </w:rPr>
            </w:pPr>
            <w:r>
              <w:rPr>
                <w:rFonts w:hint="eastAsia" w:ascii="宋体" w:hAnsi="宋体" w:eastAsia="宋体" w:cs="宋体"/>
                <w:bCs/>
                <w:sz w:val="24"/>
                <w:szCs w:val="24"/>
              </w:rPr>
              <w:t>20.00</w:t>
            </w:r>
          </w:p>
        </w:tc>
        <w:tc>
          <w:tcPr>
            <w:tcW w:w="2718" w:type="dxa"/>
            <w:vAlign w:val="center"/>
          </w:tcPr>
          <w:p w14:paraId="4E2C98C4">
            <w:pPr>
              <w:snapToGrid w:val="0"/>
              <w:jc w:val="center"/>
              <w:textAlignment w:val="baseline"/>
              <w:rPr>
                <w:rFonts w:ascii="宋体" w:hAnsi="宋体" w:eastAsia="宋体" w:cs="宋体"/>
                <w:bCs/>
                <w:sz w:val="24"/>
                <w:szCs w:val="24"/>
              </w:rPr>
            </w:pPr>
            <w:r>
              <w:rPr>
                <w:rFonts w:hint="eastAsia" w:ascii="宋体" w:hAnsi="宋体" w:eastAsia="宋体" w:cs="宋体"/>
                <w:bCs/>
                <w:sz w:val="24"/>
                <w:szCs w:val="24"/>
              </w:rPr>
              <w:t>18.85</w:t>
            </w:r>
          </w:p>
        </w:tc>
      </w:tr>
      <w:tr w14:paraId="2F2C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3052" w:type="dxa"/>
            <w:vAlign w:val="center"/>
          </w:tcPr>
          <w:p w14:paraId="66327872">
            <w:pPr>
              <w:snapToGrid w:val="0"/>
              <w:jc w:val="center"/>
              <w:textAlignment w:val="baseline"/>
              <w:rPr>
                <w:rFonts w:ascii="宋体" w:hAnsi="宋体" w:eastAsia="宋体" w:cs="宋体"/>
                <w:bCs/>
                <w:sz w:val="24"/>
                <w:szCs w:val="24"/>
              </w:rPr>
            </w:pPr>
            <w:r>
              <w:rPr>
                <w:rFonts w:hint="eastAsia" w:ascii="宋体" w:hAnsi="宋体" w:eastAsia="宋体" w:cs="宋体"/>
                <w:bCs/>
                <w:sz w:val="24"/>
                <w:szCs w:val="24"/>
              </w:rPr>
              <w:t>整体绩效目标实现情况</w:t>
            </w:r>
          </w:p>
        </w:tc>
        <w:tc>
          <w:tcPr>
            <w:tcW w:w="2715" w:type="dxa"/>
            <w:vAlign w:val="center"/>
          </w:tcPr>
          <w:p w14:paraId="1D6FE2C9">
            <w:pPr>
              <w:snapToGrid w:val="0"/>
              <w:jc w:val="center"/>
              <w:textAlignment w:val="baseline"/>
              <w:rPr>
                <w:rFonts w:ascii="宋体" w:hAnsi="宋体" w:eastAsia="宋体" w:cs="宋体"/>
                <w:bCs/>
                <w:sz w:val="24"/>
                <w:szCs w:val="24"/>
              </w:rPr>
            </w:pPr>
            <w:r>
              <w:rPr>
                <w:rFonts w:hint="eastAsia" w:ascii="宋体" w:hAnsi="宋体" w:eastAsia="宋体" w:cs="宋体"/>
                <w:bCs/>
                <w:sz w:val="24"/>
                <w:szCs w:val="24"/>
              </w:rPr>
              <w:t>60.00</w:t>
            </w:r>
          </w:p>
        </w:tc>
        <w:tc>
          <w:tcPr>
            <w:tcW w:w="2718" w:type="dxa"/>
            <w:vAlign w:val="center"/>
          </w:tcPr>
          <w:p w14:paraId="2B6CA5A1">
            <w:pPr>
              <w:snapToGrid w:val="0"/>
              <w:jc w:val="center"/>
              <w:textAlignment w:val="baseline"/>
              <w:rPr>
                <w:rFonts w:ascii="宋体" w:hAnsi="宋体" w:eastAsia="宋体" w:cs="宋体"/>
                <w:bCs/>
                <w:sz w:val="24"/>
                <w:szCs w:val="24"/>
              </w:rPr>
            </w:pPr>
            <w:r>
              <w:rPr>
                <w:rFonts w:hint="default" w:ascii="宋体" w:hAnsi="宋体" w:eastAsia="宋体" w:cs="宋体"/>
                <w:bCs/>
                <w:sz w:val="24"/>
                <w:szCs w:val="24"/>
                <w:lang w:val="en" w:eastAsia="zh-CN"/>
              </w:rPr>
              <w:t>59.</w:t>
            </w:r>
            <w:r>
              <w:rPr>
                <w:rFonts w:hint="eastAsia" w:ascii="宋体" w:hAnsi="宋体" w:eastAsia="宋体" w:cs="宋体"/>
                <w:bCs/>
                <w:sz w:val="24"/>
                <w:szCs w:val="24"/>
                <w:lang w:val="en-US" w:eastAsia="zh-CN"/>
              </w:rPr>
              <w:t>5</w:t>
            </w:r>
            <w:r>
              <w:rPr>
                <w:rFonts w:hint="eastAsia" w:ascii="宋体" w:hAnsi="宋体" w:eastAsia="宋体" w:cs="宋体"/>
                <w:bCs/>
                <w:sz w:val="24"/>
                <w:szCs w:val="24"/>
              </w:rPr>
              <w:t>0</w:t>
            </w:r>
          </w:p>
        </w:tc>
      </w:tr>
      <w:tr w14:paraId="167F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3052" w:type="dxa"/>
            <w:vAlign w:val="center"/>
          </w:tcPr>
          <w:p w14:paraId="19A23D95">
            <w:pPr>
              <w:snapToGrid w:val="0"/>
              <w:jc w:val="center"/>
              <w:textAlignment w:val="baseline"/>
              <w:rPr>
                <w:rFonts w:ascii="宋体" w:hAnsi="宋体" w:eastAsia="宋体" w:cs="宋体"/>
                <w:bCs/>
                <w:sz w:val="24"/>
                <w:szCs w:val="24"/>
              </w:rPr>
            </w:pPr>
            <w:r>
              <w:rPr>
                <w:rFonts w:hint="eastAsia" w:ascii="宋体" w:hAnsi="宋体" w:eastAsia="宋体" w:cs="宋体"/>
                <w:bCs/>
                <w:sz w:val="24"/>
                <w:szCs w:val="24"/>
              </w:rPr>
              <w:t>预算管理情况</w:t>
            </w:r>
          </w:p>
        </w:tc>
        <w:tc>
          <w:tcPr>
            <w:tcW w:w="2715" w:type="dxa"/>
            <w:vAlign w:val="center"/>
          </w:tcPr>
          <w:p w14:paraId="38BF3164">
            <w:pPr>
              <w:snapToGrid w:val="0"/>
              <w:jc w:val="center"/>
              <w:textAlignment w:val="baseline"/>
              <w:rPr>
                <w:rFonts w:ascii="宋体" w:hAnsi="宋体" w:eastAsia="宋体" w:cs="宋体"/>
                <w:bCs/>
                <w:sz w:val="24"/>
                <w:szCs w:val="24"/>
              </w:rPr>
            </w:pPr>
            <w:r>
              <w:rPr>
                <w:rFonts w:hint="eastAsia" w:ascii="宋体" w:hAnsi="宋体" w:eastAsia="宋体" w:cs="宋体"/>
                <w:bCs/>
                <w:sz w:val="24"/>
                <w:szCs w:val="24"/>
              </w:rPr>
              <w:t>20.00</w:t>
            </w:r>
          </w:p>
        </w:tc>
        <w:tc>
          <w:tcPr>
            <w:tcW w:w="2718" w:type="dxa"/>
            <w:vAlign w:val="center"/>
          </w:tcPr>
          <w:p w14:paraId="1B145DBF">
            <w:pPr>
              <w:snapToGrid w:val="0"/>
              <w:jc w:val="center"/>
              <w:textAlignment w:val="baseline"/>
              <w:rPr>
                <w:rFonts w:hint="default" w:ascii="宋体" w:hAnsi="宋体" w:eastAsia="宋体" w:cs="宋体"/>
                <w:bCs/>
                <w:sz w:val="24"/>
                <w:szCs w:val="24"/>
                <w:lang w:val="en-US"/>
              </w:rPr>
            </w:pPr>
            <w:r>
              <w:rPr>
                <w:rFonts w:hint="eastAsia" w:ascii="宋体" w:hAnsi="宋体" w:eastAsia="宋体" w:cs="宋体"/>
                <w:bCs/>
                <w:sz w:val="24"/>
                <w:szCs w:val="24"/>
                <w:highlight w:val="none"/>
                <w:lang w:val="en-US" w:eastAsia="zh-CN"/>
              </w:rPr>
              <w:t>18.80</w:t>
            </w:r>
          </w:p>
        </w:tc>
      </w:tr>
      <w:tr w14:paraId="34EB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3052" w:type="dxa"/>
            <w:vAlign w:val="center"/>
          </w:tcPr>
          <w:p w14:paraId="7735CC42">
            <w:pPr>
              <w:snapToGrid w:val="0"/>
              <w:jc w:val="center"/>
              <w:textAlignment w:val="baseline"/>
              <w:rPr>
                <w:rFonts w:ascii="宋体" w:hAnsi="宋体" w:eastAsia="宋体" w:cs="宋体"/>
                <w:b/>
                <w:sz w:val="24"/>
                <w:szCs w:val="24"/>
              </w:rPr>
            </w:pPr>
            <w:r>
              <w:rPr>
                <w:rFonts w:hint="eastAsia" w:ascii="宋体" w:hAnsi="宋体" w:eastAsia="宋体" w:cs="宋体"/>
                <w:b/>
                <w:sz w:val="24"/>
                <w:szCs w:val="24"/>
              </w:rPr>
              <w:t>总分合计</w:t>
            </w:r>
          </w:p>
        </w:tc>
        <w:tc>
          <w:tcPr>
            <w:tcW w:w="2716" w:type="dxa"/>
            <w:vAlign w:val="center"/>
          </w:tcPr>
          <w:p w14:paraId="21302552">
            <w:pPr>
              <w:snapToGrid w:val="0"/>
              <w:jc w:val="center"/>
              <w:textAlignment w:val="baseline"/>
              <w:rPr>
                <w:rFonts w:ascii="宋体" w:hAnsi="宋体" w:eastAsia="宋体" w:cs="宋体"/>
                <w:b/>
                <w:sz w:val="24"/>
                <w:szCs w:val="24"/>
              </w:rPr>
            </w:pPr>
            <w:r>
              <w:rPr>
                <w:rFonts w:hint="eastAsia" w:ascii="宋体" w:hAnsi="宋体" w:eastAsia="宋体" w:cs="宋体"/>
                <w:b/>
                <w:sz w:val="24"/>
                <w:szCs w:val="24"/>
              </w:rPr>
              <w:t>100.00</w:t>
            </w:r>
          </w:p>
        </w:tc>
        <w:tc>
          <w:tcPr>
            <w:tcW w:w="2717" w:type="dxa"/>
            <w:vAlign w:val="center"/>
          </w:tcPr>
          <w:p w14:paraId="31C9752B">
            <w:pPr>
              <w:snapToGrid w:val="0"/>
              <w:jc w:val="center"/>
              <w:textAlignment w:val="baseline"/>
              <w:rPr>
                <w:rFonts w:hint="default" w:ascii="宋体" w:hAnsi="宋体" w:eastAsia="宋体" w:cs="宋体"/>
                <w:b/>
                <w:sz w:val="24"/>
                <w:szCs w:val="24"/>
                <w:lang w:val="en-US"/>
              </w:rPr>
            </w:pPr>
            <w:r>
              <w:rPr>
                <w:rFonts w:hint="eastAsia" w:ascii="宋体" w:hAnsi="宋体" w:eastAsia="宋体" w:cs="宋体"/>
                <w:b/>
                <w:sz w:val="24"/>
                <w:szCs w:val="24"/>
              </w:rPr>
              <w:t>9</w:t>
            </w:r>
            <w:r>
              <w:rPr>
                <w:rFonts w:hint="eastAsia" w:ascii="宋体" w:hAnsi="宋体" w:eastAsia="宋体" w:cs="宋体"/>
                <w:b/>
                <w:sz w:val="24"/>
                <w:szCs w:val="24"/>
                <w:lang w:val="en-US" w:eastAsia="zh-CN"/>
              </w:rPr>
              <w:t>7.15</w:t>
            </w:r>
          </w:p>
        </w:tc>
      </w:tr>
    </w:tbl>
    <w:p w14:paraId="511F0BBE">
      <w:pPr>
        <w:snapToGrid w:val="0"/>
        <w:textAlignment w:val="baseline"/>
        <w:rPr>
          <w:rFonts w:ascii="仿宋_GB2312" w:hAnsi="仿宋_GB2312" w:eastAsia="仿宋_GB2312" w:cs="仿宋_GB2312"/>
          <w:sz w:val="28"/>
          <w:szCs w:val="28"/>
        </w:rPr>
      </w:pPr>
    </w:p>
    <w:p w14:paraId="79ED32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outlineLvl w:val="1"/>
        <w:rPr>
          <w:rFonts w:ascii="楷体_GB2312" w:eastAsia="楷体_GB2312"/>
          <w:bCs/>
          <w:sz w:val="32"/>
          <w:szCs w:val="32"/>
        </w:rPr>
      </w:pPr>
      <w:bookmarkStart w:id="54" w:name="_Toc28453"/>
      <w:bookmarkStart w:id="55" w:name="_Toc23274"/>
      <w:bookmarkStart w:id="56" w:name="_Toc3164"/>
      <w:bookmarkStart w:id="57" w:name="_Toc5651"/>
      <w:r>
        <w:rPr>
          <w:rFonts w:hint="eastAsia" w:ascii="楷体_GB2312" w:eastAsia="楷体_GB2312"/>
          <w:bCs/>
          <w:sz w:val="32"/>
          <w:szCs w:val="32"/>
        </w:rPr>
        <w:t>（二）存在的问题及原因分析</w:t>
      </w:r>
      <w:bookmarkEnd w:id="54"/>
      <w:bookmarkEnd w:id="55"/>
      <w:bookmarkEnd w:id="56"/>
      <w:bookmarkEnd w:id="57"/>
    </w:p>
    <w:p w14:paraId="776CF1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lang w:val="en-US" w:eastAsia="zh-CN"/>
        </w:rPr>
      </w:pPr>
      <w:bookmarkStart w:id="58" w:name="_Toc9365"/>
      <w:bookmarkStart w:id="59" w:name="_Toc22090"/>
      <w:bookmarkStart w:id="60" w:name="_Toc22084"/>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项目绩效目标管理有待进一步加强。</w:t>
      </w:r>
      <w:r>
        <w:rPr>
          <w:rFonts w:hint="eastAsia" w:ascii="仿宋_GB2312" w:hAnsi="仿宋_GB2312" w:eastAsia="仿宋_GB2312" w:cs="仿宋_GB2312"/>
          <w:sz w:val="32"/>
          <w:szCs w:val="32"/>
        </w:rPr>
        <w:t>在绩效目标设定方面，</w:t>
      </w:r>
      <w:r>
        <w:rPr>
          <w:rFonts w:hint="eastAsia" w:ascii="仿宋_GB2312" w:hAnsi="仿宋_GB2312" w:eastAsia="仿宋_GB2312" w:cs="仿宋_GB2312"/>
          <w:sz w:val="32"/>
          <w:szCs w:val="32"/>
          <w:lang w:val="en-US" w:eastAsia="zh-CN"/>
        </w:rPr>
        <w:t>个别项目年度总体目标描述不够规范，未能全面体现重点工作任务和预期效益；个别项目</w:t>
      </w:r>
      <w:r>
        <w:rPr>
          <w:rFonts w:hint="eastAsia" w:ascii="仿宋_GB2312" w:hAnsi="仿宋_GB2312" w:eastAsia="仿宋_GB2312" w:cs="仿宋_GB2312"/>
          <w:sz w:val="32"/>
          <w:szCs w:val="32"/>
        </w:rPr>
        <w:t>数量指标设定</w:t>
      </w:r>
      <w:r>
        <w:rPr>
          <w:rFonts w:hint="eastAsia" w:ascii="仿宋_GB2312" w:hAnsi="仿宋_GB2312" w:eastAsia="仿宋_GB2312" w:cs="仿宋_GB2312"/>
          <w:sz w:val="32"/>
          <w:szCs w:val="32"/>
          <w:lang w:val="en-US" w:eastAsia="zh-CN"/>
        </w:rPr>
        <w:t>过于保守；</w:t>
      </w:r>
      <w:r>
        <w:rPr>
          <w:rFonts w:hint="eastAsia" w:ascii="仿宋_GB2312" w:hAnsi="仿宋_GB2312" w:eastAsia="仿宋_GB2312" w:cs="仿宋_GB2312"/>
          <w:sz w:val="32"/>
          <w:szCs w:val="32"/>
        </w:rPr>
        <w:t>质量指标、效益指标与数量指标未充分对应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效益指标不够</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量化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可衡量性有待进一步增强</w:t>
      </w:r>
      <w:r>
        <w:rPr>
          <w:rFonts w:hint="eastAsia" w:ascii="仿宋_GB2312" w:hAnsi="仿宋_GB2312" w:eastAsia="仿宋_GB2312" w:cs="仿宋_GB2312"/>
          <w:sz w:val="32"/>
          <w:szCs w:val="32"/>
          <w:lang w:eastAsia="zh-CN"/>
        </w:rPr>
        <w:t>；个别</w:t>
      </w:r>
      <w:r>
        <w:rPr>
          <w:rFonts w:hint="eastAsia" w:ascii="仿宋_GB2312" w:hAnsi="仿宋_GB2312" w:eastAsia="仿宋_GB2312" w:cs="仿宋_GB2312"/>
          <w:b w:val="0"/>
          <w:bCs w:val="0"/>
          <w:sz w:val="32"/>
          <w:szCs w:val="32"/>
          <w:lang w:val="en-US" w:eastAsia="zh-CN"/>
        </w:rPr>
        <w:t>项目虽设定了满意度指标，但未及时开展满意度调查，或满意度调查采集样本量较小，未能客观真实反映项目实施效果。</w:t>
      </w:r>
    </w:p>
    <w:p w14:paraId="4F06AA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项目管理有待进一步规范。</w:t>
      </w:r>
      <w:r>
        <w:rPr>
          <w:rFonts w:hint="eastAsia" w:ascii="仿宋_GB2312" w:hAnsi="仿宋_GB2312" w:eastAsia="仿宋_GB2312" w:cs="仿宋_GB2312"/>
          <w:sz w:val="32"/>
          <w:szCs w:val="32"/>
        </w:rPr>
        <w:t>个别项目全过程管理不到位，</w:t>
      </w:r>
      <w:r>
        <w:rPr>
          <w:rFonts w:hint="eastAsia" w:ascii="仿宋_GB2312" w:hAnsi="仿宋_GB2312" w:eastAsia="仿宋_GB2312" w:cs="仿宋_GB2312"/>
          <w:sz w:val="32"/>
          <w:szCs w:val="32"/>
          <w:lang w:eastAsia="zh-CN"/>
        </w:rPr>
        <w:t>在项目立项预算申报阶段，对项目实施的可行性、必要性未开展充分论证，项目实施方案不够清晰明确，预期成果不够具体准确，导致绩效目标设定不科学合理，影响了后续事前绩效评估、事后绩效评价等工作的有效开展；在项目执行环节，</w:t>
      </w:r>
      <w:r>
        <w:rPr>
          <w:rFonts w:hint="eastAsia" w:ascii="仿宋_GB2312" w:hAnsi="仿宋_GB2312" w:eastAsia="仿宋_GB2312" w:cs="仿宋_GB2312"/>
          <w:sz w:val="32"/>
          <w:szCs w:val="32"/>
          <w:lang w:val="en-US" w:eastAsia="zh-CN"/>
        </w:rPr>
        <w:t>项目管理制度及监督措施还有待进一步健全，</w:t>
      </w:r>
      <w:r>
        <w:rPr>
          <w:rFonts w:hint="eastAsia" w:ascii="仿宋_GB2312" w:hAnsi="仿宋_GB2312" w:eastAsia="仿宋_GB2312" w:cs="仿宋_GB2312"/>
          <w:sz w:val="32"/>
          <w:szCs w:val="32"/>
          <w:lang w:eastAsia="zh-CN"/>
        </w:rPr>
        <w:t>履约验收环节不够规范，</w:t>
      </w:r>
      <w:r>
        <w:rPr>
          <w:rFonts w:hint="eastAsia" w:ascii="仿宋_GB2312" w:hAnsi="仿宋_GB2312" w:eastAsia="仿宋_GB2312" w:cs="仿宋_GB2312"/>
          <w:b w:val="0"/>
          <w:bCs w:val="0"/>
          <w:sz w:val="32"/>
          <w:szCs w:val="32"/>
          <w:lang w:val="en-US" w:eastAsia="zh-CN"/>
        </w:rPr>
        <w:t>绩效评价信息归集不够全面。</w:t>
      </w:r>
    </w:p>
    <w:p w14:paraId="16A72E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预算精细化管理有待进一步提升。在财务内控制度方面，尚未建立货币资金管理办法、票据管理办法和无形资产管理办法，部分业务流程梳理不全面，如银行开销户流程、公务卡管理流程、财政票据管理流程等。在资产管理方面，低值易耗品管理有待进一步规范，部分闲置、待报废物资资产处置不够及时。</w:t>
      </w:r>
    </w:p>
    <w:p w14:paraId="751EBAE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outlineLvl w:val="0"/>
        <w:rPr>
          <w:rFonts w:ascii="黑体" w:hAnsi="黑体" w:eastAsia="黑体" w:cs="黑体"/>
          <w:sz w:val="32"/>
          <w:szCs w:val="32"/>
        </w:rPr>
      </w:pPr>
      <w:bookmarkStart w:id="61" w:name="_Toc1924"/>
      <w:r>
        <w:rPr>
          <w:rFonts w:hint="eastAsia" w:ascii="黑体" w:hAnsi="黑体" w:eastAsia="黑体" w:cs="宋体"/>
          <w:color w:val="000000"/>
          <w:kern w:val="0"/>
          <w:sz w:val="32"/>
          <w:szCs w:val="32"/>
        </w:rPr>
        <w:t>六、措施建议</w:t>
      </w:r>
      <w:bookmarkEnd w:id="58"/>
      <w:bookmarkEnd w:id="59"/>
      <w:bookmarkEnd w:id="60"/>
      <w:bookmarkEnd w:id="61"/>
    </w:p>
    <w:p w14:paraId="2D68FB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b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强化</w:t>
      </w:r>
      <w:r>
        <w:rPr>
          <w:rFonts w:hint="eastAsia" w:ascii="仿宋_GB2312" w:hAnsi="仿宋_GB2312" w:eastAsia="仿宋_GB2312" w:cs="仿宋_GB2312"/>
          <w:b w:val="0"/>
          <w:bCs w:val="0"/>
          <w:sz w:val="32"/>
          <w:szCs w:val="32"/>
        </w:rPr>
        <w:t>预算绩效</w:t>
      </w:r>
      <w:r>
        <w:rPr>
          <w:rFonts w:hint="eastAsia" w:ascii="仿宋_GB2312" w:hAnsi="仿宋_GB2312" w:eastAsia="仿宋_GB2312" w:cs="仿宋_GB2312"/>
          <w:b w:val="0"/>
          <w:bCs w:val="0"/>
          <w:sz w:val="32"/>
          <w:szCs w:val="32"/>
          <w:lang w:eastAsia="zh-CN"/>
        </w:rPr>
        <w:t>目标</w:t>
      </w:r>
      <w:r>
        <w:rPr>
          <w:rFonts w:hint="eastAsia" w:ascii="仿宋_GB2312" w:hAnsi="仿宋_GB2312" w:eastAsia="仿宋_GB2312" w:cs="仿宋_GB2312"/>
          <w:b w:val="0"/>
          <w:bCs w:val="0"/>
          <w:sz w:val="32"/>
          <w:szCs w:val="32"/>
        </w:rPr>
        <w:t>管理意识，</w:t>
      </w:r>
      <w:r>
        <w:rPr>
          <w:rFonts w:hint="eastAsia" w:ascii="仿宋_GB2312" w:hAnsi="仿宋_GB2312" w:eastAsia="仿宋_GB2312" w:cs="仿宋_GB2312"/>
          <w:b w:val="0"/>
          <w:bCs w:val="0"/>
          <w:sz w:val="32"/>
          <w:szCs w:val="32"/>
          <w:lang w:eastAsia="zh-CN"/>
        </w:rPr>
        <w:t>提高绩效目标编报质量。</w:t>
      </w:r>
      <w:r>
        <w:rPr>
          <w:rFonts w:hint="eastAsia" w:ascii="仿宋" w:hAnsi="仿宋" w:eastAsia="仿宋" w:cs="仿宋"/>
          <w:b w:val="0"/>
          <w:bCs w:val="0"/>
          <w:sz w:val="32"/>
          <w:szCs w:val="32"/>
          <w:lang w:val="en-US" w:eastAsia="zh-CN"/>
        </w:rPr>
        <w:t>压实项目管理部门预算绩效管理主体责任，</w:t>
      </w:r>
      <w:r>
        <w:rPr>
          <w:rFonts w:hint="eastAsia" w:ascii="仿宋_GB2312" w:hAnsi="仿宋_GB2312" w:eastAsia="仿宋_GB2312" w:cs="仿宋_GB2312"/>
          <w:b w:val="0"/>
          <w:bCs w:val="0"/>
          <w:sz w:val="32"/>
          <w:szCs w:val="32"/>
        </w:rPr>
        <w:t>加强对绩效指标体系</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理解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科学</w:t>
      </w:r>
      <w:r>
        <w:rPr>
          <w:rFonts w:hint="eastAsia" w:ascii="仿宋_GB2312" w:hAnsi="仿宋_GB2312" w:eastAsia="仿宋_GB2312" w:cs="仿宋_GB2312"/>
          <w:sz w:val="32"/>
          <w:szCs w:val="32"/>
        </w:rPr>
        <w:t>合理设置项目绩效目标，以定量和定性相结合的方式设置绩效指标，</w:t>
      </w:r>
      <w:r>
        <w:rPr>
          <w:rFonts w:hint="eastAsia" w:ascii="仿宋" w:hAnsi="仿宋" w:eastAsia="仿宋" w:cs="仿宋"/>
          <w:b w:val="0"/>
          <w:bCs w:val="0"/>
          <w:sz w:val="32"/>
          <w:szCs w:val="32"/>
          <w:lang w:val="en-US" w:eastAsia="zh-CN"/>
        </w:rPr>
        <w:t>切实做到花钱必问效、无效必问责。财务部门</w:t>
      </w:r>
      <w:r>
        <w:rPr>
          <w:rFonts w:hint="eastAsia" w:ascii="仿宋_GB2312" w:hAnsi="仿宋_GB2312" w:eastAsia="仿宋_GB2312" w:cs="仿宋_GB2312"/>
          <w:b w:val="0"/>
          <w:bCs w:val="0"/>
          <w:sz w:val="32"/>
          <w:szCs w:val="32"/>
          <w:lang w:eastAsia="zh-CN"/>
        </w:rPr>
        <w:t>加大预算绩效管理政策宣传力度，健全完善本部门核心绩效指标体系，为科学设置绩效目标和绩效指标提供支撑，</w:t>
      </w:r>
      <w:r>
        <w:rPr>
          <w:rFonts w:hint="eastAsia" w:ascii="仿宋" w:hAnsi="仿宋" w:eastAsia="仿宋" w:cs="仿宋"/>
          <w:b w:val="0"/>
          <w:bCs w:val="0"/>
          <w:sz w:val="32"/>
          <w:szCs w:val="32"/>
          <w:lang w:val="en-US" w:eastAsia="zh-CN"/>
        </w:rPr>
        <w:t>加强对绩效目标设置的相关性、适当性和可行性的实质性审核，</w:t>
      </w:r>
      <w:r>
        <w:rPr>
          <w:rFonts w:hint="eastAsia" w:ascii="仿宋_GB2312" w:hAnsi="仿宋_GB2312" w:eastAsia="仿宋_GB2312" w:cs="仿宋_GB2312"/>
          <w:sz w:val="32"/>
          <w:szCs w:val="32"/>
        </w:rPr>
        <w:t>做到绩效目标明确，绩效指标细化、量化、可衡量。</w:t>
      </w:r>
    </w:p>
    <w:p w14:paraId="029C31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lang w:val="en-US" w:eastAsia="zh-CN"/>
        </w:rPr>
        <w:t>2.</w:t>
      </w:r>
      <w:r>
        <w:rPr>
          <w:rFonts w:hint="eastAsia" w:ascii="仿宋_GB2312" w:hAnsi="仿宋_GB2312" w:eastAsia="仿宋_GB2312" w:cs="仿宋_GB2312"/>
          <w:b w:val="0"/>
          <w:sz w:val="32"/>
          <w:szCs w:val="32"/>
        </w:rPr>
        <w:t>规范项目</w:t>
      </w:r>
      <w:r>
        <w:rPr>
          <w:rFonts w:hint="eastAsia" w:ascii="仿宋_GB2312" w:hAnsi="仿宋_GB2312" w:eastAsia="仿宋_GB2312" w:cs="仿宋_GB2312"/>
          <w:b w:val="0"/>
          <w:sz w:val="32"/>
          <w:szCs w:val="32"/>
          <w:lang w:eastAsia="zh-CN"/>
        </w:rPr>
        <w:t>全</w:t>
      </w:r>
      <w:r>
        <w:rPr>
          <w:rFonts w:hint="eastAsia" w:ascii="仿宋_GB2312" w:hAnsi="仿宋_GB2312" w:eastAsia="仿宋_GB2312" w:cs="仿宋_GB2312"/>
          <w:b w:val="0"/>
          <w:sz w:val="32"/>
          <w:szCs w:val="32"/>
        </w:rPr>
        <w:t>过程管理，</w:t>
      </w:r>
      <w:r>
        <w:rPr>
          <w:rFonts w:hint="eastAsia" w:ascii="仿宋_GB2312" w:hAnsi="仿宋_GB2312" w:eastAsia="仿宋_GB2312" w:cs="仿宋_GB2312"/>
          <w:b w:val="0"/>
          <w:sz w:val="32"/>
          <w:szCs w:val="32"/>
          <w:lang w:eastAsia="zh-CN"/>
        </w:rPr>
        <w:t>提升财政资金使用效益。结合</w:t>
      </w:r>
      <w:r>
        <w:rPr>
          <w:rFonts w:hint="eastAsia" w:ascii="仿宋_GB2312" w:hAnsi="仿宋_GB2312" w:eastAsia="仿宋_GB2312" w:cs="仿宋_GB2312"/>
          <w:sz w:val="32"/>
          <w:szCs w:val="32"/>
        </w:rPr>
        <w:t>项目过往工作情况或预期计划，</w:t>
      </w:r>
      <w:r>
        <w:rPr>
          <w:rFonts w:hint="eastAsia" w:ascii="仿宋_GB2312" w:hAnsi="仿宋_GB2312" w:eastAsia="仿宋_GB2312" w:cs="仿宋_GB2312"/>
          <w:b w:val="0"/>
          <w:sz w:val="32"/>
          <w:szCs w:val="32"/>
          <w:lang w:eastAsia="zh-CN"/>
        </w:rPr>
        <w:t>项目管理部门对项目实施的可行性、必要性开展充分论证，</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清晰明确</w:t>
      </w:r>
      <w:r>
        <w:rPr>
          <w:rFonts w:hint="eastAsia" w:ascii="仿宋_GB2312" w:hAnsi="仿宋_GB2312" w:eastAsia="仿宋_GB2312" w:cs="仿宋_GB2312"/>
          <w:sz w:val="32"/>
          <w:szCs w:val="32"/>
        </w:rPr>
        <w:t>的实施方案，</w:t>
      </w:r>
      <w:r>
        <w:rPr>
          <w:rFonts w:hint="eastAsia" w:ascii="仿宋_GB2312" w:hAnsi="仿宋_GB2312" w:eastAsia="仿宋_GB2312" w:cs="仿宋_GB2312"/>
          <w:sz w:val="32"/>
          <w:szCs w:val="32"/>
          <w:lang w:eastAsia="zh-CN"/>
        </w:rPr>
        <w:t>科学</w:t>
      </w:r>
      <w:r>
        <w:rPr>
          <w:rFonts w:hint="eastAsia" w:ascii="仿宋_GB2312" w:hAnsi="仿宋_GB2312" w:eastAsia="仿宋_GB2312" w:cs="仿宋_GB2312"/>
          <w:sz w:val="32"/>
          <w:szCs w:val="32"/>
        </w:rPr>
        <w:t>合理安排项目人员分工、进度计划，明确风险防控及应急措施，切实保障项目按计划进度执行。加强管理留痕意识，主动、全面、多层次地收集项目绩效资料，特别要注重对项目质量和效益的挖掘，以资料和数据支撑项目管理。</w:t>
      </w:r>
    </w:p>
    <w:p w14:paraId="74D17AA7">
      <w:pPr>
        <w:keepNext w:val="0"/>
        <w:keepLines w:val="0"/>
        <w:pageBreakBefore w:val="0"/>
        <w:widowControl w:val="0"/>
        <w:kinsoku/>
        <w:wordWrap/>
        <w:overflowPunct/>
        <w:topLinePunct w:val="0"/>
        <w:autoSpaceDE/>
        <w:autoSpaceDN/>
        <w:bidi w:val="0"/>
        <w:spacing w:line="56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3.健全完善财务内控制度，提升预算精细化管理水平。遵循“管理制度化、制度流程化、流程岗位化、岗位标准化、标准表单化”的原则，持续完善财务内控制度，</w:t>
      </w:r>
      <w:r>
        <w:rPr>
          <w:rFonts w:hint="eastAsia" w:ascii="仿宋_GB2312" w:hAnsi="仿宋_GB2312" w:eastAsia="仿宋_GB2312" w:cs="仿宋_GB2312"/>
          <w:b w:val="0"/>
          <w:bCs w:val="0"/>
          <w:sz w:val="32"/>
          <w:szCs w:val="32"/>
          <w:lang w:val="en-US" w:eastAsia="zh-CN"/>
        </w:rPr>
        <w:t>明确管理职责、管理权限和管理流程，使得日常业务运行有据可依。加强</w:t>
      </w:r>
      <w:r>
        <w:rPr>
          <w:rFonts w:hint="eastAsia" w:ascii="仿宋_GB2312" w:hAnsi="仿宋_GB2312" w:eastAsia="仿宋_GB2312" w:cs="仿宋_GB2312"/>
          <w:sz w:val="32"/>
          <w:szCs w:val="32"/>
          <w:lang w:val="en-US" w:eastAsia="zh-CN"/>
        </w:rPr>
        <w:t>实物资产管理力度，</w:t>
      </w:r>
      <w:r>
        <w:rPr>
          <w:rFonts w:hint="eastAsia" w:ascii="仿宋_GB2312" w:hAnsi="仿宋_GB2312" w:eastAsia="仿宋_GB2312" w:cs="仿宋_GB2312"/>
          <w:b w:val="0"/>
          <w:bCs w:val="0"/>
          <w:sz w:val="32"/>
          <w:szCs w:val="32"/>
          <w:lang w:val="en-US" w:eastAsia="zh-CN"/>
        </w:rPr>
        <w:t>细化管理要求，切实</w:t>
      </w:r>
      <w:r>
        <w:rPr>
          <w:rFonts w:hint="eastAsia" w:ascii="仿宋_GB2312" w:hAnsi="仿宋_GB2312" w:eastAsia="仿宋_GB2312" w:cs="仿宋_GB2312"/>
          <w:sz w:val="32"/>
          <w:szCs w:val="32"/>
        </w:rPr>
        <w:t>提高资产使用效率</w:t>
      </w:r>
      <w:r>
        <w:rPr>
          <w:rFonts w:hint="eastAsia" w:ascii="仿宋_GB2312" w:hAnsi="仿宋" w:eastAsia="仿宋_GB2312" w:cs="仿宋_GB2312"/>
          <w:sz w:val="32"/>
          <w:szCs w:val="32"/>
        </w:rPr>
        <w:t>。</w:t>
      </w:r>
    </w:p>
    <w:p w14:paraId="2B0762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outlineLvl w:val="0"/>
        <w:rPr>
          <w:rFonts w:ascii="黑体" w:hAnsi="黑体" w:eastAsia="黑体" w:cs="黑体"/>
          <w:sz w:val="32"/>
          <w:szCs w:val="32"/>
        </w:rPr>
      </w:pPr>
      <w:bookmarkStart w:id="62" w:name="_Toc2743"/>
      <w:r>
        <w:rPr>
          <w:rFonts w:hint="eastAsia" w:ascii="黑体" w:hAnsi="黑体" w:eastAsia="黑体" w:cs="宋体"/>
          <w:color w:val="000000"/>
          <w:kern w:val="0"/>
          <w:sz w:val="32"/>
          <w:szCs w:val="32"/>
        </w:rPr>
        <w:t>七、附件</w:t>
      </w:r>
      <w:bookmarkEnd w:id="62"/>
    </w:p>
    <w:p w14:paraId="6F7448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bCs/>
          <w:kern w:val="44"/>
          <w:sz w:val="32"/>
          <w:szCs w:val="32"/>
        </w:rPr>
      </w:pPr>
      <w:r>
        <w:rPr>
          <w:rFonts w:hint="eastAsia" w:ascii="仿宋_GB2312" w:hAnsi="仿宋_GB2312" w:eastAsia="仿宋_GB2312" w:cs="仿宋_GB2312"/>
          <w:sz w:val="32"/>
          <w:szCs w:val="32"/>
        </w:rPr>
        <w:t>2023年部门整体绩效评价指标体系评分表</w:t>
      </w:r>
    </w:p>
    <w:p w14:paraId="26A19D32">
      <w:pPr>
        <w:pStyle w:val="8"/>
        <w:keepNext w:val="0"/>
        <w:keepLines w:val="0"/>
        <w:pageBreakBefore w:val="0"/>
        <w:widowControl w:val="0"/>
        <w:kinsoku/>
        <w:wordWrap/>
        <w:overflowPunct/>
        <w:topLinePunct w:val="0"/>
        <w:autoSpaceDE/>
        <w:autoSpaceDN/>
        <w:bidi w:val="0"/>
        <w:adjustRightInd w:val="0"/>
        <w:snapToGrid w:val="0"/>
        <w:spacing w:line="560" w:lineRule="exact"/>
        <w:sectPr>
          <w:footerReference r:id="rId3" w:type="default"/>
          <w:pgSz w:w="11906" w:h="16838"/>
          <w:pgMar w:top="1701" w:right="1701" w:bottom="1701" w:left="1701" w:header="851" w:footer="992" w:gutter="0"/>
          <w:pgNumType w:start="1"/>
          <w:cols w:space="425" w:num="1"/>
          <w:docGrid w:type="lines" w:linePitch="312" w:charSpace="0"/>
        </w:sectPr>
      </w:pPr>
    </w:p>
    <w:p w14:paraId="7BA62874">
      <w:pPr>
        <w:pStyle w:val="8"/>
        <w:adjustRightInd w:val="0"/>
        <w:snapToGrid w:val="0"/>
        <w:spacing w:line="560" w:lineRule="exact"/>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873"/>
        <w:gridCol w:w="1268"/>
        <w:gridCol w:w="1680"/>
        <w:gridCol w:w="1120"/>
        <w:gridCol w:w="765"/>
        <w:gridCol w:w="1241"/>
        <w:gridCol w:w="3416"/>
        <w:gridCol w:w="3041"/>
      </w:tblGrid>
      <w:tr w14:paraId="4383C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9A5FB">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2023年部门整体绩效评价指标体系评分表</w:t>
            </w:r>
          </w:p>
        </w:tc>
      </w:tr>
      <w:tr w14:paraId="4B916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4454F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r>
              <w:rPr>
                <w:rFonts w:hint="eastAsia" w:ascii="宋体" w:hAnsi="宋体" w:eastAsia="宋体" w:cs="宋体"/>
                <w:b/>
                <w:bCs/>
                <w:i w:val="0"/>
                <w:iCs w:val="0"/>
                <w:color w:val="000000"/>
                <w:kern w:val="0"/>
                <w:sz w:val="20"/>
                <w:szCs w:val="20"/>
                <w:u w:val="none"/>
                <w:lang w:val="en-US" w:eastAsia="zh-CN" w:bidi="ar"/>
              </w:rPr>
              <w:t>当年预算执行情况（20分）</w:t>
            </w:r>
          </w:p>
        </w:tc>
      </w:tr>
      <w:tr w14:paraId="3B14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9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D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93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预算数（万元）</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43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执行数（万元）</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50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59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AC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1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指标解释</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B3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评分标准</w:t>
            </w:r>
          </w:p>
        </w:tc>
      </w:tr>
      <w:tr w14:paraId="79D6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CC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当年预算执行情况（20）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D6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资金总体</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94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23,620.31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2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22,265.74</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7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94.27%</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5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B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18.85 </w:t>
            </w:r>
          </w:p>
        </w:tc>
        <w:tc>
          <w:tcPr>
            <w:tcW w:w="1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9E2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部门全年执行数与全年预算数的比率。资金总体=基本支出+项目支出+其他</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98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①得分一档最高不能超过该指标分值上限（20分）。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14:paraId="4E0C4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C3D97">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8B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EE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11,541.39</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93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11,018.59</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2D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F596">
            <w:pPr>
              <w:jc w:val="center"/>
              <w:rPr>
                <w:rFonts w:hint="eastAsia" w:ascii="宋体" w:hAnsi="宋体" w:eastAsia="宋体" w:cs="宋体"/>
                <w:i w:val="0"/>
                <w:iCs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52C2">
            <w:pPr>
              <w:jc w:val="center"/>
              <w:rPr>
                <w:rFonts w:hint="eastAsia" w:ascii="宋体" w:hAnsi="宋体" w:eastAsia="宋体" w:cs="宋体"/>
                <w:i w:val="0"/>
                <w:iCs w:val="0"/>
                <w:color w:val="000000"/>
                <w:sz w:val="20"/>
                <w:szCs w:val="20"/>
                <w:u w:val="none"/>
              </w:rPr>
            </w:pPr>
          </w:p>
        </w:tc>
        <w:tc>
          <w:tcPr>
            <w:tcW w:w="1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90507">
            <w:pPr>
              <w:jc w:val="left"/>
              <w:rPr>
                <w:rFonts w:hint="eastAsia" w:ascii="宋体" w:hAnsi="宋体" w:eastAsia="宋体" w:cs="宋体"/>
                <w:i w:val="0"/>
                <w:iCs w:val="0"/>
                <w:color w:val="000000"/>
                <w:sz w:val="18"/>
                <w:szCs w:val="18"/>
                <w:u w:val="none"/>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E4B76">
            <w:pPr>
              <w:jc w:val="left"/>
              <w:rPr>
                <w:rFonts w:hint="eastAsia" w:ascii="宋体" w:hAnsi="宋体" w:eastAsia="宋体" w:cs="宋体"/>
                <w:i w:val="0"/>
                <w:iCs w:val="0"/>
                <w:color w:val="000000"/>
                <w:sz w:val="18"/>
                <w:szCs w:val="18"/>
                <w:u w:val="none"/>
              </w:rPr>
            </w:pPr>
          </w:p>
        </w:tc>
      </w:tr>
      <w:tr w14:paraId="206C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73405">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B1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50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12,078.92</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4D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11,247.15</w:t>
            </w: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6981C">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5B03">
            <w:pPr>
              <w:jc w:val="center"/>
              <w:rPr>
                <w:rFonts w:hint="eastAsia" w:ascii="宋体" w:hAnsi="宋体" w:eastAsia="宋体" w:cs="宋体"/>
                <w:i w:val="0"/>
                <w:iCs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92DB">
            <w:pPr>
              <w:jc w:val="center"/>
              <w:rPr>
                <w:rFonts w:hint="eastAsia" w:ascii="宋体" w:hAnsi="宋体" w:eastAsia="宋体" w:cs="宋体"/>
                <w:i w:val="0"/>
                <w:iCs w:val="0"/>
                <w:color w:val="000000"/>
                <w:sz w:val="20"/>
                <w:szCs w:val="20"/>
                <w:u w:val="none"/>
              </w:rPr>
            </w:pPr>
          </w:p>
        </w:tc>
        <w:tc>
          <w:tcPr>
            <w:tcW w:w="1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96A9C">
            <w:pPr>
              <w:jc w:val="left"/>
              <w:rPr>
                <w:rFonts w:hint="eastAsia" w:ascii="宋体" w:hAnsi="宋体" w:eastAsia="宋体" w:cs="宋体"/>
                <w:i w:val="0"/>
                <w:iCs w:val="0"/>
                <w:color w:val="000000"/>
                <w:sz w:val="18"/>
                <w:szCs w:val="18"/>
                <w:u w:val="none"/>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192F0">
            <w:pPr>
              <w:jc w:val="left"/>
              <w:rPr>
                <w:rFonts w:hint="eastAsia" w:ascii="宋体" w:hAnsi="宋体" w:eastAsia="宋体" w:cs="宋体"/>
                <w:i w:val="0"/>
                <w:iCs w:val="0"/>
                <w:color w:val="000000"/>
                <w:sz w:val="18"/>
                <w:szCs w:val="18"/>
                <w:u w:val="none"/>
              </w:rPr>
            </w:pPr>
          </w:p>
        </w:tc>
      </w:tr>
      <w:tr w14:paraId="617D5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D4311">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99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6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7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4C187">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5511">
            <w:pPr>
              <w:jc w:val="center"/>
              <w:rPr>
                <w:rFonts w:hint="eastAsia" w:ascii="宋体" w:hAnsi="宋体" w:eastAsia="宋体" w:cs="宋体"/>
                <w:i w:val="0"/>
                <w:iCs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790B">
            <w:pPr>
              <w:jc w:val="center"/>
              <w:rPr>
                <w:rFonts w:hint="eastAsia" w:ascii="宋体" w:hAnsi="宋体" w:eastAsia="宋体" w:cs="宋体"/>
                <w:i w:val="0"/>
                <w:iCs w:val="0"/>
                <w:color w:val="000000"/>
                <w:sz w:val="20"/>
                <w:szCs w:val="20"/>
                <w:u w:val="none"/>
              </w:rPr>
            </w:pPr>
          </w:p>
        </w:tc>
        <w:tc>
          <w:tcPr>
            <w:tcW w:w="1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CB03D">
            <w:pPr>
              <w:jc w:val="left"/>
              <w:rPr>
                <w:rFonts w:hint="eastAsia" w:ascii="宋体" w:hAnsi="宋体" w:eastAsia="宋体" w:cs="宋体"/>
                <w:i w:val="0"/>
                <w:iCs w:val="0"/>
                <w:color w:val="000000"/>
                <w:sz w:val="18"/>
                <w:szCs w:val="18"/>
                <w:u w:val="none"/>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D1CF8">
            <w:pPr>
              <w:jc w:val="left"/>
              <w:rPr>
                <w:rFonts w:hint="eastAsia" w:ascii="宋体" w:hAnsi="宋体" w:eastAsia="宋体" w:cs="宋体"/>
                <w:i w:val="0"/>
                <w:iCs w:val="0"/>
                <w:color w:val="000000"/>
                <w:sz w:val="18"/>
                <w:szCs w:val="18"/>
                <w:u w:val="none"/>
              </w:rPr>
            </w:pPr>
          </w:p>
        </w:tc>
      </w:tr>
      <w:tr w14:paraId="76553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2DB7B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r>
              <w:rPr>
                <w:rFonts w:hint="eastAsia" w:ascii="宋体" w:hAnsi="宋体" w:eastAsia="宋体" w:cs="宋体"/>
                <w:b/>
                <w:bCs/>
                <w:i w:val="0"/>
                <w:iCs w:val="0"/>
                <w:color w:val="000000"/>
                <w:kern w:val="0"/>
                <w:sz w:val="20"/>
                <w:szCs w:val="20"/>
                <w:u w:val="none"/>
                <w:lang w:val="en-US" w:eastAsia="zh-CN" w:bidi="ar"/>
              </w:rPr>
              <w:t>整体绩效目标实现情况（60分）</w:t>
            </w:r>
          </w:p>
        </w:tc>
      </w:tr>
      <w:tr w14:paraId="2ABB2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6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E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2E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　</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1D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1C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D6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2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86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指标解释</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B1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w:t>
            </w:r>
          </w:p>
        </w:tc>
      </w:tr>
      <w:tr w14:paraId="3951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E7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整体绩效目标实现情况（60）</w:t>
            </w:r>
          </w:p>
        </w:tc>
        <w:tc>
          <w:tcPr>
            <w:tcW w:w="309" w:type="pct"/>
            <w:vMerge w:val="restart"/>
            <w:tcBorders>
              <w:top w:val="single" w:color="000000" w:sz="4" w:space="0"/>
              <w:left w:val="single" w:color="000000" w:sz="4" w:space="0"/>
              <w:bottom w:val="nil"/>
              <w:right w:val="single" w:color="000000" w:sz="4" w:space="0"/>
            </w:tcBorders>
            <w:shd w:val="clear" w:color="auto" w:fill="auto"/>
            <w:vAlign w:val="center"/>
          </w:tcPr>
          <w:p w14:paraId="6B332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产出（30）</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55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产出数量</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C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各项任务完成率</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F4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88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59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99D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产出数量</w:t>
            </w:r>
            <w:r>
              <w:rPr>
                <w:rFonts w:hint="eastAsia" w:ascii="宋体" w:hAnsi="宋体" w:eastAsia="宋体" w:cs="宋体"/>
                <w:i w:val="0"/>
                <w:iCs w:val="0"/>
                <w:color w:val="000000"/>
                <w:kern w:val="0"/>
                <w:sz w:val="18"/>
                <w:szCs w:val="18"/>
                <w:u w:val="none"/>
                <w:lang w:val="en-US" w:eastAsia="zh-CN" w:bidi="ar"/>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eastAsia="宋体" w:cs="宋体"/>
                <w:b/>
                <w:bCs/>
                <w:i w:val="0"/>
                <w:iCs w:val="0"/>
                <w:color w:val="000000"/>
                <w:kern w:val="0"/>
                <w:sz w:val="18"/>
                <w:szCs w:val="18"/>
                <w:u w:val="none"/>
                <w:lang w:val="en-US" w:eastAsia="zh-CN" w:bidi="ar"/>
              </w:rPr>
              <w:t>产出质量</w:t>
            </w:r>
            <w:r>
              <w:rPr>
                <w:rFonts w:hint="eastAsia" w:ascii="宋体" w:hAnsi="宋体" w:eastAsia="宋体" w:cs="宋体"/>
                <w:i w:val="0"/>
                <w:iCs w:val="0"/>
                <w:color w:val="000000"/>
                <w:kern w:val="0"/>
                <w:sz w:val="18"/>
                <w:szCs w:val="18"/>
                <w:u w:val="none"/>
                <w:lang w:val="en-US" w:eastAsia="zh-CN" w:bidi="ar"/>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eastAsia="宋体" w:cs="宋体"/>
                <w:b/>
                <w:bCs/>
                <w:i w:val="0"/>
                <w:iCs w:val="0"/>
                <w:color w:val="000000"/>
                <w:kern w:val="0"/>
                <w:sz w:val="18"/>
                <w:szCs w:val="18"/>
                <w:u w:val="none"/>
                <w:lang w:val="en-US" w:eastAsia="zh-CN" w:bidi="ar"/>
              </w:rPr>
              <w:t>产出进度：</w:t>
            </w:r>
            <w:r>
              <w:rPr>
                <w:rFonts w:hint="eastAsia" w:ascii="宋体" w:hAnsi="宋体" w:eastAsia="宋体" w:cs="宋体"/>
                <w:i w:val="0"/>
                <w:iCs w:val="0"/>
                <w:color w:val="000000"/>
                <w:kern w:val="0"/>
                <w:sz w:val="18"/>
                <w:szCs w:val="18"/>
                <w:u w:val="none"/>
                <w:lang w:val="en-US" w:eastAsia="zh-CN" w:bidi="ar"/>
              </w:rPr>
              <w:t>按时完成率=（按时完成工作数/实际完成工作数）×100%。按时完成工作数：部门（单位）按照整体绩效目标确定的时限实际完成的工作任务数量。</w:t>
            </w:r>
            <w:r>
              <w:rPr>
                <w:rFonts w:hint="eastAsia" w:ascii="宋体" w:hAnsi="宋体" w:eastAsia="宋体" w:cs="宋体"/>
                <w:b/>
                <w:bCs/>
                <w:i w:val="0"/>
                <w:iCs w:val="0"/>
                <w:color w:val="000000"/>
                <w:kern w:val="0"/>
                <w:sz w:val="18"/>
                <w:szCs w:val="18"/>
                <w:u w:val="none"/>
                <w:lang w:val="en-US" w:eastAsia="zh-CN" w:bidi="ar"/>
              </w:rPr>
              <w:t>产出成本</w:t>
            </w:r>
            <w:r>
              <w:rPr>
                <w:rFonts w:hint="eastAsia" w:ascii="宋体" w:hAnsi="宋体" w:eastAsia="宋体" w:cs="宋体"/>
                <w:i w:val="0"/>
                <w:iCs w:val="0"/>
                <w:color w:val="000000"/>
                <w:kern w:val="0"/>
                <w:sz w:val="18"/>
                <w:szCs w:val="18"/>
                <w:u w:val="none"/>
                <w:lang w:val="en-US" w:eastAsia="zh-CN" w:bidi="ar"/>
              </w:rPr>
              <w:t>：单位产出相对于上一年度的节约额；②单位产出相对于市场同类产出的节约额；③部门公用经费的控制情况。</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CE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部门根据本单位情况自行确定并选择产出指标，合理确定各项指标权重。可量化的指标按照比率*单项指标分值即为该指标得分。如果不能定量评价，则以定性的方式进行自评。</w:t>
            </w:r>
          </w:p>
        </w:tc>
      </w:tr>
      <w:tr w14:paraId="7EDA3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156A4">
            <w:pPr>
              <w:jc w:val="center"/>
              <w:rPr>
                <w:rFonts w:hint="eastAsia" w:ascii="宋体" w:hAnsi="宋体" w:eastAsia="宋体" w:cs="宋体"/>
                <w:i w:val="0"/>
                <w:iCs w:val="0"/>
                <w:color w:val="000000"/>
                <w:sz w:val="20"/>
                <w:szCs w:val="20"/>
                <w:u w:val="none"/>
              </w:rPr>
            </w:pPr>
          </w:p>
        </w:tc>
        <w:tc>
          <w:tcPr>
            <w:tcW w:w="309" w:type="pct"/>
            <w:vMerge w:val="continue"/>
            <w:tcBorders>
              <w:top w:val="single" w:color="000000" w:sz="4" w:space="0"/>
              <w:left w:val="single" w:color="000000" w:sz="4" w:space="0"/>
              <w:bottom w:val="nil"/>
              <w:right w:val="single" w:color="000000" w:sz="4" w:space="0"/>
            </w:tcBorders>
            <w:shd w:val="clear" w:color="auto" w:fill="auto"/>
            <w:vAlign w:val="center"/>
          </w:tcPr>
          <w:p w14:paraId="63C39FF3">
            <w:pPr>
              <w:jc w:val="center"/>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2C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产出质量</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6B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质量达标率</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65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6B573">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4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EA030">
            <w:pPr>
              <w:jc w:val="center"/>
              <w:rPr>
                <w:rFonts w:hint="eastAsia" w:ascii="宋体" w:hAnsi="宋体" w:eastAsia="宋体" w:cs="宋体"/>
                <w:b/>
                <w:bCs/>
                <w:i w:val="0"/>
                <w:iCs w:val="0"/>
                <w:color w:val="000000"/>
                <w:sz w:val="18"/>
                <w:szCs w:val="18"/>
                <w:u w:val="none"/>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1D65B">
            <w:pPr>
              <w:jc w:val="center"/>
              <w:rPr>
                <w:rFonts w:hint="eastAsia" w:ascii="宋体" w:hAnsi="宋体" w:eastAsia="宋体" w:cs="宋体"/>
                <w:i w:val="0"/>
                <w:iCs w:val="0"/>
                <w:color w:val="000000"/>
                <w:sz w:val="18"/>
                <w:szCs w:val="18"/>
                <w:u w:val="none"/>
              </w:rPr>
            </w:pPr>
          </w:p>
        </w:tc>
      </w:tr>
      <w:tr w14:paraId="1DFC9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C2637">
            <w:pPr>
              <w:jc w:val="center"/>
              <w:rPr>
                <w:rFonts w:hint="eastAsia" w:ascii="宋体" w:hAnsi="宋体" w:eastAsia="宋体" w:cs="宋体"/>
                <w:i w:val="0"/>
                <w:iCs w:val="0"/>
                <w:color w:val="000000"/>
                <w:sz w:val="20"/>
                <w:szCs w:val="20"/>
                <w:u w:val="none"/>
              </w:rPr>
            </w:pPr>
          </w:p>
        </w:tc>
        <w:tc>
          <w:tcPr>
            <w:tcW w:w="309" w:type="pct"/>
            <w:vMerge w:val="continue"/>
            <w:tcBorders>
              <w:top w:val="single" w:color="000000" w:sz="4" w:space="0"/>
              <w:left w:val="single" w:color="000000" w:sz="4" w:space="0"/>
              <w:bottom w:val="nil"/>
              <w:right w:val="single" w:color="000000" w:sz="4" w:space="0"/>
            </w:tcBorders>
            <w:shd w:val="clear" w:color="auto" w:fill="auto"/>
            <w:vAlign w:val="center"/>
          </w:tcPr>
          <w:p w14:paraId="1E982685">
            <w:pPr>
              <w:jc w:val="center"/>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01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产出进度</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6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按时完成</w:t>
            </w:r>
            <w:r>
              <w:rPr>
                <w:rFonts w:ascii="等线" w:hAnsi="等线" w:eastAsia="等线" w:cs="等线"/>
                <w:i w:val="0"/>
                <w:iCs w:val="0"/>
                <w:color w:val="000000"/>
                <w:kern w:val="0"/>
                <w:sz w:val="20"/>
                <w:szCs w:val="20"/>
                <w:u w:val="none"/>
                <w:lang w:val="en-US" w:eastAsia="zh-CN" w:bidi="ar"/>
              </w:rPr>
              <w:t>　</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B5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4AEF3">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A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D6D10">
            <w:pPr>
              <w:jc w:val="center"/>
              <w:rPr>
                <w:rFonts w:hint="eastAsia" w:ascii="宋体" w:hAnsi="宋体" w:eastAsia="宋体" w:cs="宋体"/>
                <w:b/>
                <w:bCs/>
                <w:i w:val="0"/>
                <w:iCs w:val="0"/>
                <w:color w:val="000000"/>
                <w:sz w:val="18"/>
                <w:szCs w:val="18"/>
                <w:u w:val="none"/>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12141">
            <w:pPr>
              <w:jc w:val="center"/>
              <w:rPr>
                <w:rFonts w:hint="eastAsia" w:ascii="宋体" w:hAnsi="宋体" w:eastAsia="宋体" w:cs="宋体"/>
                <w:i w:val="0"/>
                <w:iCs w:val="0"/>
                <w:color w:val="000000"/>
                <w:sz w:val="18"/>
                <w:szCs w:val="18"/>
                <w:u w:val="none"/>
              </w:rPr>
            </w:pPr>
          </w:p>
        </w:tc>
      </w:tr>
      <w:tr w14:paraId="3B295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4281B">
            <w:pPr>
              <w:jc w:val="center"/>
              <w:rPr>
                <w:rFonts w:hint="eastAsia" w:ascii="宋体" w:hAnsi="宋体" w:eastAsia="宋体" w:cs="宋体"/>
                <w:i w:val="0"/>
                <w:iCs w:val="0"/>
                <w:color w:val="000000"/>
                <w:sz w:val="20"/>
                <w:szCs w:val="20"/>
                <w:u w:val="none"/>
              </w:rPr>
            </w:pPr>
          </w:p>
        </w:tc>
        <w:tc>
          <w:tcPr>
            <w:tcW w:w="309" w:type="pct"/>
            <w:vMerge w:val="continue"/>
            <w:tcBorders>
              <w:top w:val="single" w:color="000000" w:sz="4" w:space="0"/>
              <w:left w:val="single" w:color="000000" w:sz="4" w:space="0"/>
              <w:bottom w:val="nil"/>
              <w:right w:val="single" w:color="000000" w:sz="4" w:space="0"/>
            </w:tcBorders>
            <w:shd w:val="clear" w:color="auto" w:fill="auto"/>
            <w:vAlign w:val="center"/>
          </w:tcPr>
          <w:p w14:paraId="1C304F26">
            <w:pPr>
              <w:jc w:val="center"/>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37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产出成本</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EE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eastAsia" w:ascii="等线" w:hAnsi="等线" w:eastAsia="等线" w:cs="等线"/>
                <w:i w:val="0"/>
                <w:iCs w:val="0"/>
                <w:color w:val="000000"/>
                <w:kern w:val="0"/>
                <w:sz w:val="18"/>
                <w:szCs w:val="18"/>
                <w:u w:val="none"/>
                <w:lang w:val="en-US" w:eastAsia="zh-CN" w:bidi="ar"/>
              </w:rPr>
              <w:t>预算控制数　</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5A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9E040">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5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BE73F">
            <w:pPr>
              <w:jc w:val="center"/>
              <w:rPr>
                <w:rFonts w:hint="eastAsia" w:ascii="宋体" w:hAnsi="宋体" w:eastAsia="宋体" w:cs="宋体"/>
                <w:b/>
                <w:bCs/>
                <w:i w:val="0"/>
                <w:iCs w:val="0"/>
                <w:color w:val="000000"/>
                <w:sz w:val="18"/>
                <w:szCs w:val="18"/>
                <w:u w:val="none"/>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C1A51">
            <w:pPr>
              <w:jc w:val="center"/>
              <w:rPr>
                <w:rFonts w:hint="eastAsia" w:ascii="宋体" w:hAnsi="宋体" w:eastAsia="宋体" w:cs="宋体"/>
                <w:i w:val="0"/>
                <w:iCs w:val="0"/>
                <w:color w:val="000000"/>
                <w:sz w:val="18"/>
                <w:szCs w:val="18"/>
                <w:u w:val="none"/>
              </w:rPr>
            </w:pPr>
          </w:p>
        </w:tc>
      </w:tr>
      <w:tr w14:paraId="5122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A07E9">
            <w:pPr>
              <w:jc w:val="center"/>
              <w:rPr>
                <w:rFonts w:hint="eastAsia" w:ascii="宋体" w:hAnsi="宋体" w:eastAsia="宋体" w:cs="宋体"/>
                <w:i w:val="0"/>
                <w:iCs w:val="0"/>
                <w:color w:val="000000"/>
                <w:sz w:val="20"/>
                <w:szCs w:val="20"/>
                <w:u w:val="none"/>
              </w:rPr>
            </w:pP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9D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效果（30）</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2C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592" w:type="pct"/>
            <w:tcBorders>
              <w:top w:val="single" w:color="000000" w:sz="4" w:space="0"/>
              <w:left w:val="nil"/>
              <w:bottom w:val="single" w:color="000000" w:sz="4" w:space="0"/>
              <w:right w:val="single" w:color="000000" w:sz="4" w:space="0"/>
            </w:tcBorders>
            <w:shd w:val="clear" w:color="auto" w:fill="auto"/>
            <w:vAlign w:val="center"/>
          </w:tcPr>
          <w:p w14:paraId="6D690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通过高标准做好升（降）国旗等活动组织保障，展示良好国家形象</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61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0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F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9E13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经济效益</w:t>
            </w:r>
            <w:r>
              <w:rPr>
                <w:rFonts w:hint="eastAsia" w:ascii="宋体" w:hAnsi="宋体" w:eastAsia="宋体" w:cs="宋体"/>
                <w:i w:val="0"/>
                <w:iCs w:val="0"/>
                <w:color w:val="000000"/>
                <w:kern w:val="0"/>
                <w:sz w:val="18"/>
                <w:szCs w:val="18"/>
                <w:u w:val="none"/>
                <w:lang w:val="en-US" w:eastAsia="zh-CN" w:bidi="ar"/>
              </w:rPr>
              <w:t>：部门（单位）履行职责对经济发展所带来的直接或间接影响。</w:t>
            </w:r>
            <w:r>
              <w:rPr>
                <w:rFonts w:hint="eastAsia" w:ascii="宋体" w:hAnsi="宋体" w:eastAsia="宋体" w:cs="宋体"/>
                <w:b/>
                <w:bCs/>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t>：部门（单位）履行职责对社会发展所带来的直接或间接影响。</w:t>
            </w:r>
            <w:r>
              <w:rPr>
                <w:rFonts w:hint="eastAsia" w:ascii="宋体" w:hAnsi="宋体" w:eastAsia="宋体" w:cs="宋体"/>
                <w:b/>
                <w:bCs/>
                <w:i w:val="0"/>
                <w:iCs w:val="0"/>
                <w:color w:val="000000"/>
                <w:kern w:val="0"/>
                <w:sz w:val="18"/>
                <w:szCs w:val="18"/>
                <w:u w:val="none"/>
                <w:lang w:val="en-US" w:eastAsia="zh-CN" w:bidi="ar"/>
              </w:rPr>
              <w:t>环境效益</w:t>
            </w:r>
            <w:r>
              <w:rPr>
                <w:rFonts w:hint="eastAsia" w:ascii="宋体" w:hAnsi="宋体" w:eastAsia="宋体" w:cs="宋体"/>
                <w:i w:val="0"/>
                <w:iCs w:val="0"/>
                <w:color w:val="000000"/>
                <w:kern w:val="0"/>
                <w:sz w:val="18"/>
                <w:szCs w:val="18"/>
                <w:u w:val="none"/>
                <w:lang w:val="en-US" w:eastAsia="zh-CN" w:bidi="ar"/>
              </w:rPr>
              <w:t>：部门（单位）履行职责对环境所带来的直接或间接影响。</w:t>
            </w:r>
            <w:r>
              <w:rPr>
                <w:rFonts w:hint="eastAsia" w:ascii="宋体" w:hAnsi="宋体" w:eastAsia="宋体" w:cs="宋体"/>
                <w:b/>
                <w:bCs/>
                <w:i w:val="0"/>
                <w:iCs w:val="0"/>
                <w:color w:val="000000"/>
                <w:kern w:val="0"/>
                <w:sz w:val="18"/>
                <w:szCs w:val="18"/>
                <w:u w:val="none"/>
                <w:lang w:val="en-US" w:eastAsia="zh-CN" w:bidi="ar"/>
              </w:rPr>
              <w:t>可持续性影响：</w:t>
            </w:r>
            <w:r>
              <w:rPr>
                <w:rFonts w:hint="eastAsia" w:ascii="宋体" w:hAnsi="宋体" w:eastAsia="宋体" w:cs="宋体"/>
                <w:i w:val="0"/>
                <w:iCs w:val="0"/>
                <w:color w:val="000000"/>
                <w:kern w:val="0"/>
                <w:sz w:val="18"/>
                <w:szCs w:val="18"/>
                <w:u w:val="none"/>
                <w:lang w:val="en-US" w:eastAsia="zh-CN" w:bidi="ar"/>
              </w:rPr>
              <w:t>部门绩效目标实现的长效机制建设情况，部门工作效率提升措施的创新。</w:t>
            </w:r>
            <w:r>
              <w:rPr>
                <w:rFonts w:hint="eastAsia" w:ascii="宋体" w:hAnsi="宋体" w:eastAsia="宋体" w:cs="宋体"/>
                <w:b/>
                <w:bCs/>
                <w:i w:val="0"/>
                <w:iCs w:val="0"/>
                <w:color w:val="000000"/>
                <w:kern w:val="0"/>
                <w:sz w:val="18"/>
                <w:szCs w:val="18"/>
                <w:u w:val="none"/>
                <w:lang w:val="en-US" w:eastAsia="zh-CN" w:bidi="ar"/>
              </w:rPr>
              <w:t>服务对象满意度</w:t>
            </w:r>
            <w:r>
              <w:rPr>
                <w:rFonts w:hint="eastAsia" w:ascii="宋体" w:hAnsi="宋体" w:eastAsia="宋体" w:cs="宋体"/>
                <w:i w:val="0"/>
                <w:iCs w:val="0"/>
                <w:color w:val="000000"/>
                <w:kern w:val="0"/>
                <w:sz w:val="18"/>
                <w:szCs w:val="18"/>
                <w:u w:val="none"/>
                <w:lang w:val="en-US" w:eastAsia="zh-CN" w:bidi="ar"/>
              </w:rPr>
              <w:t>：部门（单位）的服务对象对部门履职效果的满意程度。</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23C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部门根据实际情况选择指标进行填写，并将其细化为相应的个性化指标。对于效益类指标可从受益对象瞄准度、受益广度和受益深度上进行设计分析。</w:t>
            </w:r>
          </w:p>
        </w:tc>
      </w:tr>
      <w:tr w14:paraId="3BD3F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0E88F">
            <w:pPr>
              <w:jc w:val="center"/>
              <w:rPr>
                <w:rFonts w:hint="eastAsia" w:ascii="宋体" w:hAnsi="宋体" w:eastAsia="宋体" w:cs="宋体"/>
                <w:i w:val="0"/>
                <w:iCs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62818">
            <w:pPr>
              <w:jc w:val="center"/>
              <w:rPr>
                <w:rFonts w:hint="eastAsia" w:ascii="宋体" w:hAnsi="宋体" w:eastAsia="宋体" w:cs="宋体"/>
                <w:i w:val="0"/>
                <w:iCs w:val="0"/>
                <w:color w:val="000000"/>
                <w:sz w:val="20"/>
                <w:szCs w:val="20"/>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106EA">
            <w:pPr>
              <w:jc w:val="center"/>
              <w:rPr>
                <w:rFonts w:hint="eastAsia" w:ascii="宋体" w:hAnsi="宋体" w:eastAsia="宋体" w:cs="宋体"/>
                <w:i w:val="0"/>
                <w:iCs w:val="0"/>
                <w:color w:val="000000"/>
                <w:sz w:val="22"/>
                <w:szCs w:val="22"/>
                <w:u w:val="none"/>
              </w:rPr>
            </w:pPr>
          </w:p>
        </w:tc>
        <w:tc>
          <w:tcPr>
            <w:tcW w:w="592" w:type="pct"/>
            <w:tcBorders>
              <w:top w:val="single" w:color="000000" w:sz="4" w:space="0"/>
              <w:left w:val="nil"/>
              <w:bottom w:val="single" w:color="000000" w:sz="4" w:space="0"/>
              <w:right w:val="single" w:color="000000" w:sz="4" w:space="0"/>
            </w:tcBorders>
            <w:shd w:val="clear" w:color="auto" w:fill="auto"/>
            <w:vAlign w:val="center"/>
          </w:tcPr>
          <w:p w14:paraId="754F0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天安门地区综合环境品质、空间秩序得到优化提升</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AD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4CA1">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F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1D20A">
            <w:pPr>
              <w:jc w:val="left"/>
              <w:rPr>
                <w:rFonts w:hint="eastAsia" w:ascii="宋体" w:hAnsi="宋体" w:eastAsia="宋体" w:cs="宋体"/>
                <w:b/>
                <w:bCs/>
                <w:i w:val="0"/>
                <w:iCs w:val="0"/>
                <w:color w:val="000000"/>
                <w:sz w:val="18"/>
                <w:szCs w:val="18"/>
                <w:u w:val="none"/>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C35EB">
            <w:pPr>
              <w:jc w:val="left"/>
              <w:rPr>
                <w:rFonts w:hint="eastAsia" w:ascii="宋体" w:hAnsi="宋体" w:eastAsia="宋体" w:cs="宋体"/>
                <w:i w:val="0"/>
                <w:iCs w:val="0"/>
                <w:color w:val="000000"/>
                <w:sz w:val="18"/>
                <w:szCs w:val="18"/>
                <w:u w:val="none"/>
              </w:rPr>
            </w:pPr>
          </w:p>
        </w:tc>
      </w:tr>
      <w:tr w14:paraId="10474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D3AF4">
            <w:pPr>
              <w:jc w:val="center"/>
              <w:rPr>
                <w:rFonts w:hint="eastAsia" w:ascii="宋体" w:hAnsi="宋体" w:eastAsia="宋体" w:cs="宋体"/>
                <w:i w:val="0"/>
                <w:iCs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B7272">
            <w:pPr>
              <w:jc w:val="center"/>
              <w:rPr>
                <w:rFonts w:hint="eastAsia" w:ascii="宋体" w:hAnsi="宋体" w:eastAsia="宋体" w:cs="宋体"/>
                <w:i w:val="0"/>
                <w:iCs w:val="0"/>
                <w:color w:val="000000"/>
                <w:sz w:val="20"/>
                <w:szCs w:val="20"/>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9E8E1">
            <w:pPr>
              <w:jc w:val="center"/>
              <w:rPr>
                <w:rFonts w:hint="eastAsia" w:ascii="宋体" w:hAnsi="宋体" w:eastAsia="宋体" w:cs="宋体"/>
                <w:i w:val="0"/>
                <w:iCs w:val="0"/>
                <w:color w:val="000000"/>
                <w:sz w:val="22"/>
                <w:szCs w:val="22"/>
                <w:u w:val="none"/>
              </w:rPr>
            </w:pPr>
          </w:p>
        </w:tc>
        <w:tc>
          <w:tcPr>
            <w:tcW w:w="592" w:type="pct"/>
            <w:tcBorders>
              <w:top w:val="single" w:color="000000" w:sz="4" w:space="0"/>
              <w:left w:val="nil"/>
              <w:bottom w:val="single" w:color="000000" w:sz="4" w:space="0"/>
              <w:right w:val="single" w:color="000000" w:sz="4" w:space="0"/>
            </w:tcBorders>
            <w:shd w:val="clear" w:color="auto" w:fill="auto"/>
            <w:vAlign w:val="center"/>
          </w:tcPr>
          <w:p w14:paraId="66F03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推进智慧城市建设，提升现代化治理能力</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9C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3BA4">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0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8E9F8">
            <w:pPr>
              <w:jc w:val="left"/>
              <w:rPr>
                <w:rFonts w:hint="eastAsia" w:ascii="宋体" w:hAnsi="宋体" w:eastAsia="宋体" w:cs="宋体"/>
                <w:b/>
                <w:bCs/>
                <w:i w:val="0"/>
                <w:iCs w:val="0"/>
                <w:color w:val="000000"/>
                <w:sz w:val="18"/>
                <w:szCs w:val="18"/>
                <w:u w:val="none"/>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16E02">
            <w:pPr>
              <w:jc w:val="left"/>
              <w:rPr>
                <w:rFonts w:hint="eastAsia" w:ascii="宋体" w:hAnsi="宋体" w:eastAsia="宋体" w:cs="宋体"/>
                <w:i w:val="0"/>
                <w:iCs w:val="0"/>
                <w:color w:val="000000"/>
                <w:sz w:val="18"/>
                <w:szCs w:val="18"/>
                <w:u w:val="none"/>
              </w:rPr>
            </w:pPr>
          </w:p>
        </w:tc>
      </w:tr>
      <w:tr w14:paraId="3C6E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C9AE7">
            <w:pPr>
              <w:jc w:val="center"/>
              <w:rPr>
                <w:rFonts w:hint="eastAsia" w:ascii="宋体" w:hAnsi="宋体" w:eastAsia="宋体" w:cs="宋体"/>
                <w:i w:val="0"/>
                <w:iCs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E21AF">
            <w:pPr>
              <w:jc w:val="center"/>
              <w:rPr>
                <w:rFonts w:hint="eastAsia" w:ascii="宋体" w:hAnsi="宋体" w:eastAsia="宋体" w:cs="宋体"/>
                <w:i w:val="0"/>
                <w:iCs w:val="0"/>
                <w:color w:val="000000"/>
                <w:sz w:val="20"/>
                <w:szCs w:val="20"/>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83344">
            <w:pPr>
              <w:jc w:val="center"/>
              <w:rPr>
                <w:rFonts w:hint="eastAsia" w:ascii="宋体" w:hAnsi="宋体" w:eastAsia="宋体" w:cs="宋体"/>
                <w:i w:val="0"/>
                <w:iCs w:val="0"/>
                <w:color w:val="000000"/>
                <w:sz w:val="22"/>
                <w:szCs w:val="22"/>
                <w:u w:val="none"/>
              </w:rPr>
            </w:pPr>
          </w:p>
        </w:tc>
        <w:tc>
          <w:tcPr>
            <w:tcW w:w="592" w:type="pct"/>
            <w:tcBorders>
              <w:top w:val="single" w:color="000000" w:sz="4" w:space="0"/>
              <w:left w:val="nil"/>
              <w:bottom w:val="single" w:color="000000" w:sz="4" w:space="0"/>
              <w:right w:val="single" w:color="000000" w:sz="4" w:space="0"/>
            </w:tcBorders>
            <w:shd w:val="clear" w:color="auto" w:fill="auto"/>
            <w:vAlign w:val="center"/>
          </w:tcPr>
          <w:p w14:paraId="7BEBD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保障天安门地区市政设施正常运行，重点文物建筑得到保护</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4C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FA11">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E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78F04">
            <w:pPr>
              <w:jc w:val="left"/>
              <w:rPr>
                <w:rFonts w:hint="eastAsia" w:ascii="宋体" w:hAnsi="宋体" w:eastAsia="宋体" w:cs="宋体"/>
                <w:b/>
                <w:bCs/>
                <w:i w:val="0"/>
                <w:iCs w:val="0"/>
                <w:color w:val="000000"/>
                <w:sz w:val="18"/>
                <w:szCs w:val="18"/>
                <w:u w:val="none"/>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FA6A">
            <w:pPr>
              <w:jc w:val="left"/>
              <w:rPr>
                <w:rFonts w:hint="eastAsia" w:ascii="宋体" w:hAnsi="宋体" w:eastAsia="宋体" w:cs="宋体"/>
                <w:i w:val="0"/>
                <w:iCs w:val="0"/>
                <w:color w:val="000000"/>
                <w:sz w:val="18"/>
                <w:szCs w:val="18"/>
                <w:u w:val="none"/>
              </w:rPr>
            </w:pPr>
          </w:p>
        </w:tc>
      </w:tr>
      <w:tr w14:paraId="25B3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24E2">
            <w:pPr>
              <w:jc w:val="center"/>
              <w:rPr>
                <w:rFonts w:hint="eastAsia" w:ascii="宋体" w:hAnsi="宋体" w:eastAsia="宋体" w:cs="宋体"/>
                <w:i w:val="0"/>
                <w:iCs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8A0B5">
            <w:pPr>
              <w:jc w:val="center"/>
              <w:rPr>
                <w:rFonts w:hint="eastAsia" w:ascii="宋体" w:hAnsi="宋体" w:eastAsia="宋体" w:cs="宋体"/>
                <w:i w:val="0"/>
                <w:iCs w:val="0"/>
                <w:color w:val="000000"/>
                <w:sz w:val="20"/>
                <w:szCs w:val="20"/>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F2CB5">
            <w:pPr>
              <w:jc w:val="center"/>
              <w:rPr>
                <w:rFonts w:hint="eastAsia" w:ascii="宋体" w:hAnsi="宋体" w:eastAsia="宋体" w:cs="宋体"/>
                <w:i w:val="0"/>
                <w:iCs w:val="0"/>
                <w:color w:val="000000"/>
                <w:sz w:val="22"/>
                <w:szCs w:val="22"/>
                <w:u w:val="none"/>
              </w:rPr>
            </w:pPr>
          </w:p>
        </w:tc>
        <w:tc>
          <w:tcPr>
            <w:tcW w:w="592" w:type="pct"/>
            <w:tcBorders>
              <w:top w:val="nil"/>
              <w:left w:val="nil"/>
              <w:bottom w:val="nil"/>
              <w:right w:val="nil"/>
            </w:tcBorders>
            <w:shd w:val="clear" w:color="auto" w:fill="auto"/>
            <w:vAlign w:val="center"/>
          </w:tcPr>
          <w:p w14:paraId="1E62A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服务对象满意度水平较高</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B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BE86">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9CC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
              </w:rPr>
            </w:pPr>
            <w:r>
              <w:rPr>
                <w:rFonts w:hint="default" w:ascii="宋体" w:hAnsi="宋体" w:eastAsia="宋体" w:cs="宋体"/>
                <w:i w:val="0"/>
                <w:iCs w:val="0"/>
                <w:color w:val="000000"/>
                <w:kern w:val="0"/>
                <w:sz w:val="20"/>
                <w:szCs w:val="20"/>
                <w:u w:val="none"/>
                <w:lang w:val="en" w:eastAsia="zh-CN" w:bidi="ar"/>
              </w:rPr>
              <w:t>5.</w:t>
            </w:r>
            <w:r>
              <w:rPr>
                <w:rFonts w:hint="eastAsia" w:ascii="宋体" w:hAnsi="宋体" w:eastAsia="宋体" w:cs="宋体"/>
                <w:i w:val="0"/>
                <w:iCs w:val="0"/>
                <w:color w:val="000000"/>
                <w:kern w:val="0"/>
                <w:sz w:val="20"/>
                <w:szCs w:val="20"/>
                <w:u w:val="none"/>
                <w:lang w:val="en-US" w:eastAsia="zh-CN" w:bidi="ar"/>
              </w:rPr>
              <w:t>5</w:t>
            </w:r>
          </w:p>
        </w:tc>
        <w:tc>
          <w:tcPr>
            <w:tcW w:w="1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8D921">
            <w:pPr>
              <w:jc w:val="left"/>
              <w:rPr>
                <w:rFonts w:hint="eastAsia" w:ascii="宋体" w:hAnsi="宋体" w:eastAsia="宋体" w:cs="宋体"/>
                <w:b/>
                <w:bCs/>
                <w:i w:val="0"/>
                <w:iCs w:val="0"/>
                <w:color w:val="000000"/>
                <w:sz w:val="18"/>
                <w:szCs w:val="18"/>
                <w:u w:val="none"/>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4505D">
            <w:pPr>
              <w:jc w:val="left"/>
              <w:rPr>
                <w:rFonts w:hint="eastAsia" w:ascii="宋体" w:hAnsi="宋体" w:eastAsia="宋体" w:cs="宋体"/>
                <w:i w:val="0"/>
                <w:iCs w:val="0"/>
                <w:color w:val="000000"/>
                <w:sz w:val="18"/>
                <w:szCs w:val="18"/>
                <w:u w:val="none"/>
              </w:rPr>
            </w:pPr>
          </w:p>
        </w:tc>
      </w:tr>
      <w:tr w14:paraId="01027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17234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r>
              <w:rPr>
                <w:rFonts w:hint="eastAsia" w:ascii="宋体" w:hAnsi="宋体" w:eastAsia="宋体" w:cs="宋体"/>
                <w:b/>
                <w:bCs/>
                <w:i w:val="0"/>
                <w:iCs w:val="0"/>
                <w:color w:val="000000"/>
                <w:kern w:val="0"/>
                <w:sz w:val="20"/>
                <w:szCs w:val="20"/>
                <w:u w:val="none"/>
                <w:lang w:val="en-US" w:eastAsia="zh-CN" w:bidi="ar"/>
              </w:rPr>
              <w:t>预算管理情况（20分）</w:t>
            </w:r>
          </w:p>
        </w:tc>
      </w:tr>
      <w:tr w14:paraId="4911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4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3A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0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6F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D0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完成值</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4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C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5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指标解释</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65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w:t>
            </w:r>
          </w:p>
        </w:tc>
      </w:tr>
      <w:tr w14:paraId="7D1C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85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预算管理情况（20）</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12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4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财务管理制度健全性</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F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健全</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BC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比较健全</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1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6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7155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财务管理制度健全性：</w:t>
            </w:r>
            <w:r>
              <w:rPr>
                <w:rFonts w:hint="eastAsia" w:ascii="宋体" w:hAnsi="宋体" w:eastAsia="宋体" w:cs="宋体"/>
                <w:i w:val="0"/>
                <w:iCs w:val="0"/>
                <w:color w:val="000000"/>
                <w:kern w:val="0"/>
                <w:sz w:val="18"/>
                <w:szCs w:val="18"/>
                <w:u w:val="none"/>
                <w:lang w:val="en-US" w:eastAsia="zh-CN" w:bidi="ar"/>
              </w:rPr>
              <w:t>部门（单位）为加强财务管理、规范财务行为而制定的管理制度。</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97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①预算资金管理办法、绩效跟踪管理办法、资产管理办法等各项制度是否健全；②部门内部财务管理制度是否完整、合规；③会计核算制度是否完整、合规。每有一项不合格扣0.5分，扣完为止。</w:t>
            </w:r>
          </w:p>
        </w:tc>
      </w:tr>
      <w:tr w14:paraId="0FD2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554FF">
            <w:pPr>
              <w:jc w:val="center"/>
              <w:rPr>
                <w:rFonts w:hint="eastAsia" w:ascii="宋体" w:hAnsi="宋体" w:eastAsia="宋体" w:cs="宋体"/>
                <w:i w:val="0"/>
                <w:iCs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A7386">
            <w:pPr>
              <w:jc w:val="center"/>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3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资金使用合规性和安全性</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8B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合规安全</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32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合规安全</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F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3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AE92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资金使用合规性和安全性：</w:t>
            </w:r>
            <w:r>
              <w:rPr>
                <w:rFonts w:hint="eastAsia" w:ascii="宋体" w:hAnsi="宋体" w:eastAsia="宋体" w:cs="宋体"/>
                <w:i w:val="0"/>
                <w:iCs w:val="0"/>
                <w:color w:val="000000"/>
                <w:kern w:val="0"/>
                <w:sz w:val="18"/>
                <w:szCs w:val="18"/>
                <w:u w:val="none"/>
                <w:lang w:val="en-US" w:eastAsia="zh-CN" w:bidi="ar"/>
              </w:rPr>
              <w:t>部门（单位）使用预算资金是否符合相关的预算财务管理制度的规定，是否符合相关规定的开支范围，用以反映考核部门（单位）预算资金的规范运行和安全运行情况。</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40D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14:paraId="680C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F419D">
            <w:pPr>
              <w:jc w:val="center"/>
              <w:rPr>
                <w:rFonts w:hint="eastAsia" w:ascii="宋体" w:hAnsi="宋体" w:eastAsia="宋体" w:cs="宋体"/>
                <w:i w:val="0"/>
                <w:iCs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DC4FC">
            <w:pPr>
              <w:jc w:val="center"/>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B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会计基础信息完善性</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8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0E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F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4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F1F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会计基础信息完善性：</w:t>
            </w:r>
            <w:r>
              <w:rPr>
                <w:rFonts w:hint="eastAsia" w:ascii="宋体" w:hAnsi="宋体" w:eastAsia="宋体" w:cs="宋体"/>
                <w:i w:val="0"/>
                <w:iCs w:val="0"/>
                <w:color w:val="000000"/>
                <w:kern w:val="0"/>
                <w:sz w:val="18"/>
                <w:szCs w:val="18"/>
                <w:u w:val="none"/>
                <w:lang w:val="en-US" w:eastAsia="zh-CN" w:bidi="ar"/>
              </w:rPr>
              <w:t>部门（单位）会计基础信息情况。</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61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①基础数据信息和会计信息资料是否真实；②基础数据信息和会计信息资料是否完整；③基础数据信息和会计信息资料是否准确。每有一项不合格扣0.5分，扣完为止。</w:t>
            </w:r>
          </w:p>
        </w:tc>
      </w:tr>
      <w:tr w14:paraId="6FF7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F043C">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DD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F0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资产管理规范性</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A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D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不够规范</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E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A0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46AD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资产管理规范性：</w:t>
            </w:r>
            <w:r>
              <w:rPr>
                <w:rFonts w:hint="eastAsia" w:ascii="宋体" w:hAnsi="宋体" w:eastAsia="宋体" w:cs="宋体"/>
                <w:i w:val="0"/>
                <w:iCs w:val="0"/>
                <w:color w:val="000000"/>
                <w:kern w:val="0"/>
                <w:sz w:val="18"/>
                <w:szCs w:val="18"/>
                <w:u w:val="none"/>
                <w:lang w:val="en-US" w:eastAsia="zh-CN" w:bidi="ar"/>
              </w:rPr>
              <w:t>部门（单位）的资产是否保持安全完整，资产配置是否合理，资产使用和资产处理是否规范，用以反映和考核部门（单位）资产管理的整体水平。</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E7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14:paraId="1F81E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47303">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4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绩效管理（4）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2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绩效管理情况</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BC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23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60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3E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EA3E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绩效管理情况：</w:t>
            </w:r>
            <w:r>
              <w:rPr>
                <w:rFonts w:hint="eastAsia" w:ascii="宋体" w:hAnsi="宋体" w:eastAsia="宋体" w:cs="宋体"/>
                <w:i w:val="0"/>
                <w:iCs w:val="0"/>
                <w:color w:val="000000"/>
                <w:kern w:val="0"/>
                <w:sz w:val="18"/>
                <w:szCs w:val="18"/>
                <w:u w:val="none"/>
                <w:lang w:val="en-US" w:eastAsia="zh-CN" w:bidi="ar"/>
              </w:rPr>
              <w:t>考核部门（单位）在绩效管理信息的汇总和应用情况。</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7F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①部门（单位）是否及时对绩效信息进行汇总分析整理；②部门（单位）是否对绩效目标偏离情况及时进行矫正。每有一项不合格扣2分。</w:t>
            </w:r>
          </w:p>
        </w:tc>
      </w:tr>
      <w:tr w14:paraId="0C6AB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65FE1">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F6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　</w:t>
            </w: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48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6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DB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AD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B0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指标解释</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CA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w:t>
            </w:r>
          </w:p>
        </w:tc>
      </w:tr>
      <w:tr w14:paraId="74F4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F728D">
            <w:pPr>
              <w:jc w:val="center"/>
              <w:rPr>
                <w:rFonts w:hint="eastAsia" w:ascii="宋体" w:hAnsi="宋体" w:eastAsia="宋体" w:cs="宋体"/>
                <w:i w:val="0"/>
                <w:iCs w:val="0"/>
                <w:color w:val="000000"/>
                <w:sz w:val="20"/>
                <w:szCs w:val="20"/>
                <w:u w:val="none"/>
              </w:rPr>
            </w:pP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22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结转结余率（4）</w:t>
            </w:r>
          </w:p>
        </w:tc>
        <w:tc>
          <w:tcPr>
            <w:tcW w:w="10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84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B9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F8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B0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182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结转结余率=结转结余总额/支出预算数×100%。</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3AC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14:paraId="16E5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10CF0">
            <w:pPr>
              <w:jc w:val="center"/>
              <w:rPr>
                <w:rFonts w:hint="eastAsia" w:ascii="宋体" w:hAnsi="宋体" w:eastAsia="宋体" w:cs="宋体"/>
                <w:i w:val="0"/>
                <w:iCs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46389">
            <w:pPr>
              <w:jc w:val="center"/>
              <w:rPr>
                <w:rFonts w:hint="eastAsia" w:ascii="宋体" w:hAnsi="宋体" w:eastAsia="宋体" w:cs="宋体"/>
                <w:i w:val="0"/>
                <w:iCs w:val="0"/>
                <w:color w:val="000000"/>
                <w:sz w:val="20"/>
                <w:szCs w:val="20"/>
                <w:u w:val="none"/>
              </w:rPr>
            </w:pPr>
          </w:p>
        </w:tc>
        <w:tc>
          <w:tcPr>
            <w:tcW w:w="10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38FFC">
            <w:pPr>
              <w:jc w:val="center"/>
              <w:rPr>
                <w:rFonts w:hint="eastAsia" w:ascii="宋体" w:hAnsi="宋体" w:eastAsia="宋体" w:cs="宋体"/>
                <w:i w:val="0"/>
                <w:iCs w:val="0"/>
                <w:color w:val="000000"/>
                <w:sz w:val="20"/>
                <w:szCs w:val="20"/>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EE913">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B7E0A">
            <w:pPr>
              <w:jc w:val="center"/>
              <w:rPr>
                <w:rFonts w:hint="eastAsia" w:ascii="宋体" w:hAnsi="宋体" w:eastAsia="宋体" w:cs="宋体"/>
                <w:i w:val="0"/>
                <w:iCs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4864A">
            <w:pPr>
              <w:jc w:val="center"/>
              <w:rPr>
                <w:rFonts w:hint="eastAsia" w:ascii="宋体" w:hAnsi="宋体" w:eastAsia="宋体" w:cs="宋体"/>
                <w:i w:val="0"/>
                <w:iCs w:val="0"/>
                <w:color w:val="000000"/>
                <w:sz w:val="20"/>
                <w:szCs w:val="20"/>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FDA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结转结余总额：部门（单位）本年度的结转资金与结余资金之和。</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65F09">
            <w:pPr>
              <w:jc w:val="left"/>
              <w:rPr>
                <w:rFonts w:hint="eastAsia" w:ascii="宋体" w:hAnsi="宋体" w:eastAsia="宋体" w:cs="宋体"/>
                <w:i w:val="0"/>
                <w:iCs w:val="0"/>
                <w:color w:val="000000"/>
                <w:sz w:val="18"/>
                <w:szCs w:val="18"/>
                <w:u w:val="none"/>
              </w:rPr>
            </w:pPr>
          </w:p>
        </w:tc>
      </w:tr>
      <w:tr w14:paraId="14431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405DD">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6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部门预决算差异率（4）</w:t>
            </w: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49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C5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67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3C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ADF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通过年度部门决算与年初部门预算对比，对部门的年度支出情况进行考核，衡量部门预算的约束力。</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A7E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部门预决算差异率高于市级平均差异率（28.3%）的，每高出10%（含），扣0.4分，扣完为止。</w:t>
            </w:r>
          </w:p>
        </w:tc>
      </w:tr>
      <w:tr w14:paraId="76208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01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19CE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4B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55D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97.15 </w:t>
            </w:r>
          </w:p>
        </w:tc>
        <w:tc>
          <w:tcPr>
            <w:tcW w:w="22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4AA22">
            <w:pPr>
              <w:jc w:val="center"/>
              <w:rPr>
                <w:rFonts w:hint="eastAsia" w:ascii="宋体" w:hAnsi="宋体" w:eastAsia="宋体" w:cs="宋体"/>
                <w:b/>
                <w:bCs/>
                <w:i w:val="0"/>
                <w:iCs w:val="0"/>
                <w:color w:val="000000"/>
                <w:sz w:val="18"/>
                <w:szCs w:val="18"/>
                <w:u w:val="none"/>
              </w:rPr>
            </w:pPr>
          </w:p>
        </w:tc>
      </w:tr>
    </w:tbl>
    <w:p w14:paraId="5CE3CDF1">
      <w:pPr>
        <w:pStyle w:val="8"/>
        <w:adjustRightInd w:val="0"/>
        <w:snapToGrid w:val="0"/>
        <w:spacing w:line="560" w:lineRule="exact"/>
        <w:ind w:firstLine="0"/>
        <w:rPr>
          <w:rFonts w:hint="eastAsia"/>
        </w:rPr>
      </w:pPr>
    </w:p>
    <w:sectPr>
      <w:pgSz w:w="16838" w:h="11906" w:orient="landscape"/>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4F994E-55B6-470A-B54E-A43DCD8095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B6A3A33-884F-469F-B850-EB0815E76DE8}"/>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3" w:fontKey="{3664D752-1BFD-4724-A888-A9AFBC6A4BEA}"/>
  </w:font>
  <w:font w:name="方正仿宋_GBK">
    <w:altName w:val="微软雅黑"/>
    <w:panose1 w:val="02000000000000000000"/>
    <w:charset w:val="86"/>
    <w:family w:val="auto"/>
    <w:pitch w:val="default"/>
    <w:sig w:usb0="00000000" w:usb1="00000000" w:usb2="00000000" w:usb3="00000000" w:csb0="00040000" w:csb1="00000000"/>
    <w:embedRegular r:id="rId4" w:fontKey="{757AFB80-2CF3-4934-8CDD-697571E67813}"/>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5" w:fontKey="{DDFA17C8-8178-4DB1-8979-CCF227231327}"/>
  </w:font>
  <w:font w:name="华文宋体">
    <w:altName w:val="宋体"/>
    <w:panose1 w:val="02010600040101010101"/>
    <w:charset w:val="86"/>
    <w:family w:val="auto"/>
    <w:pitch w:val="default"/>
    <w:sig w:usb0="00000000" w:usb1="00000000" w:usb2="00000000" w:usb3="00000000" w:csb0="0004009F" w:csb1="DFD70000"/>
  </w:font>
  <w:font w:name="方正书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embedRegular r:id="rId6" w:fontKey="{B1D8F89C-39D6-4471-BE9C-05A31D265B76}"/>
  </w:font>
  <w:font w:name="楷体_GB2312">
    <w:altName w:val="楷体"/>
    <w:panose1 w:val="02010609030101010101"/>
    <w:charset w:val="86"/>
    <w:family w:val="modern"/>
    <w:pitch w:val="default"/>
    <w:sig w:usb0="00000000" w:usb1="00000000" w:usb2="00000000" w:usb3="00000000" w:csb0="00040000" w:csb1="00000000"/>
    <w:embedRegular r:id="rId7" w:fontKey="{E8721F90-A9BD-4236-AEDF-7C5DF17A472E}"/>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267606"/>
      <w:docPartObj>
        <w:docPartGallery w:val="autotext"/>
      </w:docPartObj>
    </w:sdtPr>
    <w:sdtEndPr>
      <w:rPr>
        <w:rFonts w:ascii="Times New Roman" w:hAnsi="Times New Roman" w:cs="Times New Roman"/>
        <w:sz w:val="21"/>
        <w:szCs w:val="21"/>
      </w:rPr>
    </w:sdtEndPr>
    <w:sdtContent>
      <w:p w14:paraId="13B67DF7">
        <w:pPr>
          <w:pStyle w:val="1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14:paraId="77D5E4BB">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166C1"/>
    <w:multiLevelType w:val="singleLevel"/>
    <w:tmpl w:val="9D2166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3Nzk1YWU0NDQ2N2U5OTVjMjUwMDY1YjVmM2ViM2UifQ=="/>
  </w:docVars>
  <w:rsids>
    <w:rsidRoot w:val="007D6785"/>
    <w:rsid w:val="00005402"/>
    <w:rsid w:val="000619CC"/>
    <w:rsid w:val="000871A4"/>
    <w:rsid w:val="0009051B"/>
    <w:rsid w:val="00105241"/>
    <w:rsid w:val="00201AB1"/>
    <w:rsid w:val="0022181C"/>
    <w:rsid w:val="002D5D29"/>
    <w:rsid w:val="00346CC0"/>
    <w:rsid w:val="00360831"/>
    <w:rsid w:val="00386C46"/>
    <w:rsid w:val="004200A6"/>
    <w:rsid w:val="004A13BA"/>
    <w:rsid w:val="004D0CCB"/>
    <w:rsid w:val="00537339"/>
    <w:rsid w:val="00564281"/>
    <w:rsid w:val="00571DB5"/>
    <w:rsid w:val="005D0DA8"/>
    <w:rsid w:val="005D4EEF"/>
    <w:rsid w:val="005E663A"/>
    <w:rsid w:val="00643BE3"/>
    <w:rsid w:val="00676294"/>
    <w:rsid w:val="00686FE2"/>
    <w:rsid w:val="006E04C6"/>
    <w:rsid w:val="006F43F5"/>
    <w:rsid w:val="007C0F2D"/>
    <w:rsid w:val="007D6785"/>
    <w:rsid w:val="007E76A9"/>
    <w:rsid w:val="00806187"/>
    <w:rsid w:val="00867929"/>
    <w:rsid w:val="00880E15"/>
    <w:rsid w:val="008C1D42"/>
    <w:rsid w:val="008D181F"/>
    <w:rsid w:val="008E2E90"/>
    <w:rsid w:val="00944BE9"/>
    <w:rsid w:val="0099754D"/>
    <w:rsid w:val="009C6F0F"/>
    <w:rsid w:val="00AE2A48"/>
    <w:rsid w:val="00AF2B77"/>
    <w:rsid w:val="00B0691B"/>
    <w:rsid w:val="00B668A4"/>
    <w:rsid w:val="00B8272D"/>
    <w:rsid w:val="00BF0AA0"/>
    <w:rsid w:val="00C6142E"/>
    <w:rsid w:val="00CB24D5"/>
    <w:rsid w:val="00D10539"/>
    <w:rsid w:val="00D23EC5"/>
    <w:rsid w:val="00D27E17"/>
    <w:rsid w:val="00D44F36"/>
    <w:rsid w:val="00DD0C1A"/>
    <w:rsid w:val="00DD502C"/>
    <w:rsid w:val="00E15581"/>
    <w:rsid w:val="00E41BA5"/>
    <w:rsid w:val="00E56439"/>
    <w:rsid w:val="00EA40E8"/>
    <w:rsid w:val="00ED1361"/>
    <w:rsid w:val="00F62A3D"/>
    <w:rsid w:val="00F6676F"/>
    <w:rsid w:val="00F94CB9"/>
    <w:rsid w:val="00F96296"/>
    <w:rsid w:val="00FD5C03"/>
    <w:rsid w:val="012D3C0D"/>
    <w:rsid w:val="014D0938"/>
    <w:rsid w:val="0197690B"/>
    <w:rsid w:val="01B36BD0"/>
    <w:rsid w:val="021533E7"/>
    <w:rsid w:val="021A4C79"/>
    <w:rsid w:val="026305F6"/>
    <w:rsid w:val="028728DD"/>
    <w:rsid w:val="028C442B"/>
    <w:rsid w:val="02A12ECC"/>
    <w:rsid w:val="02BA13C7"/>
    <w:rsid w:val="02D768EE"/>
    <w:rsid w:val="02DA63DE"/>
    <w:rsid w:val="03080C9B"/>
    <w:rsid w:val="03603BBE"/>
    <w:rsid w:val="03B97254"/>
    <w:rsid w:val="0402211D"/>
    <w:rsid w:val="041B00E5"/>
    <w:rsid w:val="04262466"/>
    <w:rsid w:val="049C22B4"/>
    <w:rsid w:val="04F347BB"/>
    <w:rsid w:val="056F6202"/>
    <w:rsid w:val="0588240A"/>
    <w:rsid w:val="05982F92"/>
    <w:rsid w:val="05EF3F4F"/>
    <w:rsid w:val="06E61600"/>
    <w:rsid w:val="0711304F"/>
    <w:rsid w:val="07344457"/>
    <w:rsid w:val="07887E31"/>
    <w:rsid w:val="078E1545"/>
    <w:rsid w:val="079C0106"/>
    <w:rsid w:val="07E04497"/>
    <w:rsid w:val="08275C22"/>
    <w:rsid w:val="084154A6"/>
    <w:rsid w:val="08887282"/>
    <w:rsid w:val="08F508DC"/>
    <w:rsid w:val="0903613F"/>
    <w:rsid w:val="09066E3B"/>
    <w:rsid w:val="0911242E"/>
    <w:rsid w:val="09C532E6"/>
    <w:rsid w:val="0A125B31"/>
    <w:rsid w:val="0A342F3A"/>
    <w:rsid w:val="0A6C0264"/>
    <w:rsid w:val="0A783040"/>
    <w:rsid w:val="0A8E7105"/>
    <w:rsid w:val="0A9450C5"/>
    <w:rsid w:val="0AF0679F"/>
    <w:rsid w:val="0B36617C"/>
    <w:rsid w:val="0B6D7D67"/>
    <w:rsid w:val="0BE63156"/>
    <w:rsid w:val="0BE70C1B"/>
    <w:rsid w:val="0BE971FB"/>
    <w:rsid w:val="0C210BDA"/>
    <w:rsid w:val="0C620578"/>
    <w:rsid w:val="0C6D2071"/>
    <w:rsid w:val="0C965124"/>
    <w:rsid w:val="0CC55A09"/>
    <w:rsid w:val="0D1411E7"/>
    <w:rsid w:val="0D2C7CA1"/>
    <w:rsid w:val="0D3E75A2"/>
    <w:rsid w:val="0D613984"/>
    <w:rsid w:val="0D713321"/>
    <w:rsid w:val="0D76754C"/>
    <w:rsid w:val="0D8A418C"/>
    <w:rsid w:val="0DD310D5"/>
    <w:rsid w:val="0DE97231"/>
    <w:rsid w:val="0E6B11ED"/>
    <w:rsid w:val="0E866236"/>
    <w:rsid w:val="0EA55AF2"/>
    <w:rsid w:val="0F356EB3"/>
    <w:rsid w:val="0FBF8BAE"/>
    <w:rsid w:val="0FE8038D"/>
    <w:rsid w:val="100919D4"/>
    <w:rsid w:val="101747CE"/>
    <w:rsid w:val="101F79F8"/>
    <w:rsid w:val="10440973"/>
    <w:rsid w:val="107D27FD"/>
    <w:rsid w:val="10E20F57"/>
    <w:rsid w:val="10F20056"/>
    <w:rsid w:val="113E071E"/>
    <w:rsid w:val="11A42091"/>
    <w:rsid w:val="11A4661F"/>
    <w:rsid w:val="11E466CA"/>
    <w:rsid w:val="121A076A"/>
    <w:rsid w:val="12420640"/>
    <w:rsid w:val="12543AB7"/>
    <w:rsid w:val="1254758B"/>
    <w:rsid w:val="12597320"/>
    <w:rsid w:val="128F716E"/>
    <w:rsid w:val="12C46A01"/>
    <w:rsid w:val="12E74B76"/>
    <w:rsid w:val="13080DA0"/>
    <w:rsid w:val="130955DD"/>
    <w:rsid w:val="135B0E75"/>
    <w:rsid w:val="13785584"/>
    <w:rsid w:val="13841C8E"/>
    <w:rsid w:val="138C13DD"/>
    <w:rsid w:val="13D205F7"/>
    <w:rsid w:val="1457788F"/>
    <w:rsid w:val="149A7408"/>
    <w:rsid w:val="151426B6"/>
    <w:rsid w:val="158D108E"/>
    <w:rsid w:val="15A40EAB"/>
    <w:rsid w:val="15A9236C"/>
    <w:rsid w:val="161C0D90"/>
    <w:rsid w:val="16320DD1"/>
    <w:rsid w:val="16403DB5"/>
    <w:rsid w:val="16C73322"/>
    <w:rsid w:val="16C74B4B"/>
    <w:rsid w:val="17207D2D"/>
    <w:rsid w:val="1749126A"/>
    <w:rsid w:val="174E0155"/>
    <w:rsid w:val="17575DF8"/>
    <w:rsid w:val="176C3651"/>
    <w:rsid w:val="176E6A50"/>
    <w:rsid w:val="17946704"/>
    <w:rsid w:val="17BC6043"/>
    <w:rsid w:val="17C86F3B"/>
    <w:rsid w:val="18027B12"/>
    <w:rsid w:val="184D42A1"/>
    <w:rsid w:val="186603B4"/>
    <w:rsid w:val="19352312"/>
    <w:rsid w:val="197113F3"/>
    <w:rsid w:val="197B0A31"/>
    <w:rsid w:val="198130D3"/>
    <w:rsid w:val="19B60BB4"/>
    <w:rsid w:val="19FA6CA7"/>
    <w:rsid w:val="1A540A14"/>
    <w:rsid w:val="1ABB4669"/>
    <w:rsid w:val="1B4E2689"/>
    <w:rsid w:val="1BE30473"/>
    <w:rsid w:val="1BFBAB0B"/>
    <w:rsid w:val="1C0814DE"/>
    <w:rsid w:val="1C67700C"/>
    <w:rsid w:val="1C7F5BD5"/>
    <w:rsid w:val="1CE974F2"/>
    <w:rsid w:val="1CEE31A1"/>
    <w:rsid w:val="1D37451A"/>
    <w:rsid w:val="1D6152DA"/>
    <w:rsid w:val="1DB775F0"/>
    <w:rsid w:val="1DF15646"/>
    <w:rsid w:val="1E164317"/>
    <w:rsid w:val="1E2A6B10"/>
    <w:rsid w:val="1E777120"/>
    <w:rsid w:val="1EC437F2"/>
    <w:rsid w:val="1EDF295B"/>
    <w:rsid w:val="1F457AFE"/>
    <w:rsid w:val="1F841754"/>
    <w:rsid w:val="1F971487"/>
    <w:rsid w:val="1FAE30E0"/>
    <w:rsid w:val="1FC36A1C"/>
    <w:rsid w:val="1FC45D59"/>
    <w:rsid w:val="1FD2799A"/>
    <w:rsid w:val="1FD6287E"/>
    <w:rsid w:val="1FE53EC9"/>
    <w:rsid w:val="1FEC4883"/>
    <w:rsid w:val="20104D96"/>
    <w:rsid w:val="20322B96"/>
    <w:rsid w:val="20484530"/>
    <w:rsid w:val="205E4012"/>
    <w:rsid w:val="20691AE9"/>
    <w:rsid w:val="20C91B14"/>
    <w:rsid w:val="20E042E3"/>
    <w:rsid w:val="210963B5"/>
    <w:rsid w:val="21865F9D"/>
    <w:rsid w:val="21933ED0"/>
    <w:rsid w:val="21983295"/>
    <w:rsid w:val="21BB5C26"/>
    <w:rsid w:val="21BC1547"/>
    <w:rsid w:val="21DA4ABB"/>
    <w:rsid w:val="22B61C24"/>
    <w:rsid w:val="231F2C22"/>
    <w:rsid w:val="233020BA"/>
    <w:rsid w:val="233D75AE"/>
    <w:rsid w:val="23426EE9"/>
    <w:rsid w:val="235C70B5"/>
    <w:rsid w:val="23616034"/>
    <w:rsid w:val="23C038FB"/>
    <w:rsid w:val="23CC02AC"/>
    <w:rsid w:val="23D205A6"/>
    <w:rsid w:val="23DA2269"/>
    <w:rsid w:val="24156E1F"/>
    <w:rsid w:val="248C335D"/>
    <w:rsid w:val="24945F95"/>
    <w:rsid w:val="24A57160"/>
    <w:rsid w:val="24DE4B1F"/>
    <w:rsid w:val="24E97CFF"/>
    <w:rsid w:val="254D07E6"/>
    <w:rsid w:val="25506360"/>
    <w:rsid w:val="25545A29"/>
    <w:rsid w:val="255C7FE1"/>
    <w:rsid w:val="259039CA"/>
    <w:rsid w:val="25C44534"/>
    <w:rsid w:val="25E1345C"/>
    <w:rsid w:val="262C30C2"/>
    <w:rsid w:val="263349C0"/>
    <w:rsid w:val="265B21B1"/>
    <w:rsid w:val="267D1D46"/>
    <w:rsid w:val="26EA3A6D"/>
    <w:rsid w:val="27424FFB"/>
    <w:rsid w:val="27CD5BB9"/>
    <w:rsid w:val="27D53816"/>
    <w:rsid w:val="27E77AE7"/>
    <w:rsid w:val="280A206B"/>
    <w:rsid w:val="280B47C0"/>
    <w:rsid w:val="28380E74"/>
    <w:rsid w:val="286363AA"/>
    <w:rsid w:val="287A0BD4"/>
    <w:rsid w:val="288250C4"/>
    <w:rsid w:val="28844BDA"/>
    <w:rsid w:val="2885743B"/>
    <w:rsid w:val="28A23BDF"/>
    <w:rsid w:val="28BD3CC7"/>
    <w:rsid w:val="28FF1AFF"/>
    <w:rsid w:val="295D104C"/>
    <w:rsid w:val="29792165"/>
    <w:rsid w:val="29B325F3"/>
    <w:rsid w:val="29EC3C5D"/>
    <w:rsid w:val="29FE7842"/>
    <w:rsid w:val="2A2D479B"/>
    <w:rsid w:val="2A3F4BF5"/>
    <w:rsid w:val="2A4B425B"/>
    <w:rsid w:val="2A7F1496"/>
    <w:rsid w:val="2A914885"/>
    <w:rsid w:val="2AA1765E"/>
    <w:rsid w:val="2B036FBE"/>
    <w:rsid w:val="2B736ED6"/>
    <w:rsid w:val="2B99075C"/>
    <w:rsid w:val="2C027C88"/>
    <w:rsid w:val="2C1F7FA0"/>
    <w:rsid w:val="2C4068EE"/>
    <w:rsid w:val="2C732934"/>
    <w:rsid w:val="2CAF1529"/>
    <w:rsid w:val="2CB01DDA"/>
    <w:rsid w:val="2CBE2F09"/>
    <w:rsid w:val="2CCB1056"/>
    <w:rsid w:val="2CCE35E6"/>
    <w:rsid w:val="2D632B7C"/>
    <w:rsid w:val="2D7365FC"/>
    <w:rsid w:val="2D832FD8"/>
    <w:rsid w:val="2D893089"/>
    <w:rsid w:val="2DB02848"/>
    <w:rsid w:val="2DBF1FE1"/>
    <w:rsid w:val="2DC94A10"/>
    <w:rsid w:val="2E0A17C8"/>
    <w:rsid w:val="2E1747BF"/>
    <w:rsid w:val="2E224EBE"/>
    <w:rsid w:val="2E7A59BF"/>
    <w:rsid w:val="2EC35DF5"/>
    <w:rsid w:val="2F386E4E"/>
    <w:rsid w:val="2F6A66CC"/>
    <w:rsid w:val="2F8559C6"/>
    <w:rsid w:val="302208F9"/>
    <w:rsid w:val="30314FE0"/>
    <w:rsid w:val="303F12A1"/>
    <w:rsid w:val="30E3452C"/>
    <w:rsid w:val="313308E4"/>
    <w:rsid w:val="313B21E2"/>
    <w:rsid w:val="31436D79"/>
    <w:rsid w:val="314B0E46"/>
    <w:rsid w:val="317437AE"/>
    <w:rsid w:val="317A6513"/>
    <w:rsid w:val="319455CF"/>
    <w:rsid w:val="31CE1418"/>
    <w:rsid w:val="31D9148B"/>
    <w:rsid w:val="31DC71A3"/>
    <w:rsid w:val="323B2146"/>
    <w:rsid w:val="3244724D"/>
    <w:rsid w:val="324A2389"/>
    <w:rsid w:val="32523F19"/>
    <w:rsid w:val="32611CF5"/>
    <w:rsid w:val="328E54AC"/>
    <w:rsid w:val="32D84C31"/>
    <w:rsid w:val="32E45099"/>
    <w:rsid w:val="331E75B3"/>
    <w:rsid w:val="33406F8F"/>
    <w:rsid w:val="33C17097"/>
    <w:rsid w:val="341E29A6"/>
    <w:rsid w:val="345761DB"/>
    <w:rsid w:val="345E437D"/>
    <w:rsid w:val="347E52B3"/>
    <w:rsid w:val="34900A87"/>
    <w:rsid w:val="34F00DAB"/>
    <w:rsid w:val="34FF467C"/>
    <w:rsid w:val="35042BAA"/>
    <w:rsid w:val="35221DC7"/>
    <w:rsid w:val="35667733"/>
    <w:rsid w:val="35CF10F5"/>
    <w:rsid w:val="369F01B4"/>
    <w:rsid w:val="3727621C"/>
    <w:rsid w:val="374A2DC4"/>
    <w:rsid w:val="377203B8"/>
    <w:rsid w:val="378E20E3"/>
    <w:rsid w:val="387D3C57"/>
    <w:rsid w:val="39110269"/>
    <w:rsid w:val="39493F52"/>
    <w:rsid w:val="397B72CC"/>
    <w:rsid w:val="397D3578"/>
    <w:rsid w:val="3A4E3759"/>
    <w:rsid w:val="3A747227"/>
    <w:rsid w:val="3AAA7C2D"/>
    <w:rsid w:val="3AAC011D"/>
    <w:rsid w:val="3ACB39EB"/>
    <w:rsid w:val="3B651FE2"/>
    <w:rsid w:val="3B7C7FAD"/>
    <w:rsid w:val="3BB464FC"/>
    <w:rsid w:val="3BB7098A"/>
    <w:rsid w:val="3BF026A0"/>
    <w:rsid w:val="3C4F68A8"/>
    <w:rsid w:val="3C6A5B02"/>
    <w:rsid w:val="3C8F30AA"/>
    <w:rsid w:val="3C9017B0"/>
    <w:rsid w:val="3C9B0B42"/>
    <w:rsid w:val="3CEB3167"/>
    <w:rsid w:val="3CF372D2"/>
    <w:rsid w:val="3D4268E3"/>
    <w:rsid w:val="3D580F58"/>
    <w:rsid w:val="3D666786"/>
    <w:rsid w:val="3D7B5AED"/>
    <w:rsid w:val="3DCFD889"/>
    <w:rsid w:val="3DF91963"/>
    <w:rsid w:val="3DFC4E7F"/>
    <w:rsid w:val="3E194BC1"/>
    <w:rsid w:val="3E281C6C"/>
    <w:rsid w:val="3E6F30B6"/>
    <w:rsid w:val="3EB0426F"/>
    <w:rsid w:val="3F012A8A"/>
    <w:rsid w:val="3F5B33C0"/>
    <w:rsid w:val="3F656A54"/>
    <w:rsid w:val="3F693EB8"/>
    <w:rsid w:val="3F9E2596"/>
    <w:rsid w:val="3FC97212"/>
    <w:rsid w:val="3FE034BE"/>
    <w:rsid w:val="3FFD253E"/>
    <w:rsid w:val="40041DC9"/>
    <w:rsid w:val="401D10DD"/>
    <w:rsid w:val="40B61873"/>
    <w:rsid w:val="41272213"/>
    <w:rsid w:val="41540B2E"/>
    <w:rsid w:val="416C231C"/>
    <w:rsid w:val="41721A73"/>
    <w:rsid w:val="41741ECE"/>
    <w:rsid w:val="418331C2"/>
    <w:rsid w:val="41BC1BB4"/>
    <w:rsid w:val="41FC7CF6"/>
    <w:rsid w:val="42040BEF"/>
    <w:rsid w:val="420B7332"/>
    <w:rsid w:val="421B164C"/>
    <w:rsid w:val="421C7123"/>
    <w:rsid w:val="423C2C7E"/>
    <w:rsid w:val="42701998"/>
    <w:rsid w:val="42D31F27"/>
    <w:rsid w:val="42F14FC3"/>
    <w:rsid w:val="43040332"/>
    <w:rsid w:val="430B0051"/>
    <w:rsid w:val="43294721"/>
    <w:rsid w:val="434906F1"/>
    <w:rsid w:val="43641051"/>
    <w:rsid w:val="43677726"/>
    <w:rsid w:val="437439A1"/>
    <w:rsid w:val="43FB34E3"/>
    <w:rsid w:val="440A3726"/>
    <w:rsid w:val="445157F9"/>
    <w:rsid w:val="44550E45"/>
    <w:rsid w:val="44986F84"/>
    <w:rsid w:val="44AF3321"/>
    <w:rsid w:val="44B80D28"/>
    <w:rsid w:val="44BD3C53"/>
    <w:rsid w:val="44FA379B"/>
    <w:rsid w:val="4538287E"/>
    <w:rsid w:val="453C2005"/>
    <w:rsid w:val="454D4439"/>
    <w:rsid w:val="45554E75"/>
    <w:rsid w:val="45B70BAF"/>
    <w:rsid w:val="45BA0898"/>
    <w:rsid w:val="461068B4"/>
    <w:rsid w:val="46144D5D"/>
    <w:rsid w:val="46B75DE7"/>
    <w:rsid w:val="46BC102E"/>
    <w:rsid w:val="46F62A7D"/>
    <w:rsid w:val="46F85025"/>
    <w:rsid w:val="47094A53"/>
    <w:rsid w:val="47261D47"/>
    <w:rsid w:val="477041E8"/>
    <w:rsid w:val="4780267D"/>
    <w:rsid w:val="4799478F"/>
    <w:rsid w:val="47C3256A"/>
    <w:rsid w:val="47F78FE1"/>
    <w:rsid w:val="48015AC8"/>
    <w:rsid w:val="48284AC3"/>
    <w:rsid w:val="48362D3C"/>
    <w:rsid w:val="48381158"/>
    <w:rsid w:val="484505CA"/>
    <w:rsid w:val="484C2CA3"/>
    <w:rsid w:val="48656768"/>
    <w:rsid w:val="488C73A1"/>
    <w:rsid w:val="48AC5D02"/>
    <w:rsid w:val="48FF325B"/>
    <w:rsid w:val="493E5FBB"/>
    <w:rsid w:val="496547AD"/>
    <w:rsid w:val="49784744"/>
    <w:rsid w:val="49B546C3"/>
    <w:rsid w:val="49C34AA3"/>
    <w:rsid w:val="49C902C5"/>
    <w:rsid w:val="49CB1FB5"/>
    <w:rsid w:val="4A0F10CE"/>
    <w:rsid w:val="4A1672C9"/>
    <w:rsid w:val="4A1746C8"/>
    <w:rsid w:val="4A175E73"/>
    <w:rsid w:val="4A477482"/>
    <w:rsid w:val="4A633B90"/>
    <w:rsid w:val="4A6C5A80"/>
    <w:rsid w:val="4A8368B5"/>
    <w:rsid w:val="4A9511A8"/>
    <w:rsid w:val="4ADB406F"/>
    <w:rsid w:val="4B4A62F4"/>
    <w:rsid w:val="4B694D13"/>
    <w:rsid w:val="4BF95768"/>
    <w:rsid w:val="4C1573A3"/>
    <w:rsid w:val="4C520360"/>
    <w:rsid w:val="4C7D7706"/>
    <w:rsid w:val="4C9B1D07"/>
    <w:rsid w:val="4D113753"/>
    <w:rsid w:val="4D1B2795"/>
    <w:rsid w:val="4D203FBB"/>
    <w:rsid w:val="4DA641B8"/>
    <w:rsid w:val="4DBF18E4"/>
    <w:rsid w:val="4DF914D1"/>
    <w:rsid w:val="4E1368CA"/>
    <w:rsid w:val="4E2D63F2"/>
    <w:rsid w:val="4E3B6988"/>
    <w:rsid w:val="4E4168DE"/>
    <w:rsid w:val="4EC8490A"/>
    <w:rsid w:val="4EE51018"/>
    <w:rsid w:val="4EF10FC7"/>
    <w:rsid w:val="4F561542"/>
    <w:rsid w:val="4F734876"/>
    <w:rsid w:val="4F956BF2"/>
    <w:rsid w:val="4FC57BED"/>
    <w:rsid w:val="503A5202"/>
    <w:rsid w:val="50AF796D"/>
    <w:rsid w:val="50F45001"/>
    <w:rsid w:val="51AB5956"/>
    <w:rsid w:val="51D06181"/>
    <w:rsid w:val="52273F7A"/>
    <w:rsid w:val="52592449"/>
    <w:rsid w:val="531A301E"/>
    <w:rsid w:val="531C5FF6"/>
    <w:rsid w:val="53344B94"/>
    <w:rsid w:val="533F47B1"/>
    <w:rsid w:val="53500458"/>
    <w:rsid w:val="537532D4"/>
    <w:rsid w:val="539B4F9B"/>
    <w:rsid w:val="53CC6C4A"/>
    <w:rsid w:val="5401121D"/>
    <w:rsid w:val="54106B37"/>
    <w:rsid w:val="54732F7E"/>
    <w:rsid w:val="547B0ED4"/>
    <w:rsid w:val="547F49C7"/>
    <w:rsid w:val="54ED7E1B"/>
    <w:rsid w:val="552742FF"/>
    <w:rsid w:val="55402630"/>
    <w:rsid w:val="55563836"/>
    <w:rsid w:val="556A60F5"/>
    <w:rsid w:val="556C6834"/>
    <w:rsid w:val="55735DDC"/>
    <w:rsid w:val="55775434"/>
    <w:rsid w:val="566D0DDB"/>
    <w:rsid w:val="566D4183"/>
    <w:rsid w:val="56B23ED5"/>
    <w:rsid w:val="56B24434"/>
    <w:rsid w:val="56B82DE4"/>
    <w:rsid w:val="5703167F"/>
    <w:rsid w:val="570B7A8A"/>
    <w:rsid w:val="57617B28"/>
    <w:rsid w:val="5767467E"/>
    <w:rsid w:val="57720E96"/>
    <w:rsid w:val="57CE6149"/>
    <w:rsid w:val="57F24F2A"/>
    <w:rsid w:val="58624CFD"/>
    <w:rsid w:val="586B07E0"/>
    <w:rsid w:val="58821B71"/>
    <w:rsid w:val="58922210"/>
    <w:rsid w:val="58B029CE"/>
    <w:rsid w:val="58C90949"/>
    <w:rsid w:val="59BC3D40"/>
    <w:rsid w:val="59FD1400"/>
    <w:rsid w:val="5A032C9A"/>
    <w:rsid w:val="5A3C75BC"/>
    <w:rsid w:val="5A796407"/>
    <w:rsid w:val="5AF57843"/>
    <w:rsid w:val="5B2353A2"/>
    <w:rsid w:val="5B37902E"/>
    <w:rsid w:val="5B390072"/>
    <w:rsid w:val="5B417B48"/>
    <w:rsid w:val="5B490B80"/>
    <w:rsid w:val="5B4B48F9"/>
    <w:rsid w:val="5B602B8D"/>
    <w:rsid w:val="5B7FC429"/>
    <w:rsid w:val="5C031F8B"/>
    <w:rsid w:val="5C361105"/>
    <w:rsid w:val="5CB93880"/>
    <w:rsid w:val="5CE5510F"/>
    <w:rsid w:val="5D563A15"/>
    <w:rsid w:val="5D6BEE93"/>
    <w:rsid w:val="5DF41277"/>
    <w:rsid w:val="5E007C1C"/>
    <w:rsid w:val="5ED920C1"/>
    <w:rsid w:val="5F97010C"/>
    <w:rsid w:val="5FCD7FD2"/>
    <w:rsid w:val="5FCF5AF8"/>
    <w:rsid w:val="5FE314D8"/>
    <w:rsid w:val="5FFDB7F3"/>
    <w:rsid w:val="607A09C6"/>
    <w:rsid w:val="608A1736"/>
    <w:rsid w:val="609D70BA"/>
    <w:rsid w:val="609F4FE8"/>
    <w:rsid w:val="60A56859"/>
    <w:rsid w:val="60B13450"/>
    <w:rsid w:val="613253CF"/>
    <w:rsid w:val="613F0A5C"/>
    <w:rsid w:val="61406D63"/>
    <w:rsid w:val="615A6B31"/>
    <w:rsid w:val="615C785F"/>
    <w:rsid w:val="61D309C1"/>
    <w:rsid w:val="621F43E9"/>
    <w:rsid w:val="622D5A78"/>
    <w:rsid w:val="622FE35A"/>
    <w:rsid w:val="62333B94"/>
    <w:rsid w:val="625C73EB"/>
    <w:rsid w:val="62940412"/>
    <w:rsid w:val="62A10321"/>
    <w:rsid w:val="62CA2E68"/>
    <w:rsid w:val="63644067"/>
    <w:rsid w:val="63846BFA"/>
    <w:rsid w:val="63AB687C"/>
    <w:rsid w:val="63AC7EFE"/>
    <w:rsid w:val="63C04E0D"/>
    <w:rsid w:val="645D0076"/>
    <w:rsid w:val="64615B78"/>
    <w:rsid w:val="64816C98"/>
    <w:rsid w:val="64E5439B"/>
    <w:rsid w:val="65CA501B"/>
    <w:rsid w:val="65DE7033"/>
    <w:rsid w:val="65E72516"/>
    <w:rsid w:val="667E5B82"/>
    <w:rsid w:val="669A2AA8"/>
    <w:rsid w:val="66AE5CE5"/>
    <w:rsid w:val="66C56598"/>
    <w:rsid w:val="67417566"/>
    <w:rsid w:val="677476CC"/>
    <w:rsid w:val="678C7DEF"/>
    <w:rsid w:val="67DF4E1C"/>
    <w:rsid w:val="68AF296B"/>
    <w:rsid w:val="68F4037D"/>
    <w:rsid w:val="690A4E0D"/>
    <w:rsid w:val="69D911D4"/>
    <w:rsid w:val="69EEC1BA"/>
    <w:rsid w:val="6A211646"/>
    <w:rsid w:val="6A56439B"/>
    <w:rsid w:val="6AA9734A"/>
    <w:rsid w:val="6B0D3978"/>
    <w:rsid w:val="6B317066"/>
    <w:rsid w:val="6B537E5F"/>
    <w:rsid w:val="6B6F4633"/>
    <w:rsid w:val="6B741C1B"/>
    <w:rsid w:val="6BCB7ABB"/>
    <w:rsid w:val="6BEB0953"/>
    <w:rsid w:val="6BFD579B"/>
    <w:rsid w:val="6C1E4E98"/>
    <w:rsid w:val="6C38544E"/>
    <w:rsid w:val="6C423325"/>
    <w:rsid w:val="6CF05300"/>
    <w:rsid w:val="6CF97917"/>
    <w:rsid w:val="6D3276C6"/>
    <w:rsid w:val="6D9B2BEF"/>
    <w:rsid w:val="6E9A79E9"/>
    <w:rsid w:val="6ED0363B"/>
    <w:rsid w:val="6EDD3662"/>
    <w:rsid w:val="6EE42C42"/>
    <w:rsid w:val="6EEF1D13"/>
    <w:rsid w:val="6F040181"/>
    <w:rsid w:val="6F1304BA"/>
    <w:rsid w:val="6F3F60CB"/>
    <w:rsid w:val="6F457B85"/>
    <w:rsid w:val="6F7B0AEA"/>
    <w:rsid w:val="6FA91F61"/>
    <w:rsid w:val="6FC34F4E"/>
    <w:rsid w:val="6FD11419"/>
    <w:rsid w:val="6FD79C2C"/>
    <w:rsid w:val="6FE506ED"/>
    <w:rsid w:val="70173C53"/>
    <w:rsid w:val="701D2C39"/>
    <w:rsid w:val="70270955"/>
    <w:rsid w:val="70365454"/>
    <w:rsid w:val="703B0F88"/>
    <w:rsid w:val="70536B84"/>
    <w:rsid w:val="706C2AAB"/>
    <w:rsid w:val="70A1703D"/>
    <w:rsid w:val="70A450A0"/>
    <w:rsid w:val="70EF5EDC"/>
    <w:rsid w:val="71324139"/>
    <w:rsid w:val="71584144"/>
    <w:rsid w:val="71AB7A47"/>
    <w:rsid w:val="72474784"/>
    <w:rsid w:val="727214D3"/>
    <w:rsid w:val="72B36986"/>
    <w:rsid w:val="72B65C67"/>
    <w:rsid w:val="72FA6ED8"/>
    <w:rsid w:val="738C1A2B"/>
    <w:rsid w:val="73B057E9"/>
    <w:rsid w:val="73B25989"/>
    <w:rsid w:val="73C372CA"/>
    <w:rsid w:val="73F62C83"/>
    <w:rsid w:val="73FF0D3F"/>
    <w:rsid w:val="740D4F28"/>
    <w:rsid w:val="743A427E"/>
    <w:rsid w:val="74C4449F"/>
    <w:rsid w:val="74DC5EBB"/>
    <w:rsid w:val="74EF29BE"/>
    <w:rsid w:val="74FA31C0"/>
    <w:rsid w:val="75047B9A"/>
    <w:rsid w:val="75542FDE"/>
    <w:rsid w:val="757F8979"/>
    <w:rsid w:val="75AC740F"/>
    <w:rsid w:val="75E308FE"/>
    <w:rsid w:val="75FB0A90"/>
    <w:rsid w:val="76143E0D"/>
    <w:rsid w:val="764211C6"/>
    <w:rsid w:val="766263C0"/>
    <w:rsid w:val="769D60E3"/>
    <w:rsid w:val="77226B8B"/>
    <w:rsid w:val="77646BE8"/>
    <w:rsid w:val="77911BC2"/>
    <w:rsid w:val="77AF825A"/>
    <w:rsid w:val="77C74EAF"/>
    <w:rsid w:val="77D5581E"/>
    <w:rsid w:val="77FBFD7C"/>
    <w:rsid w:val="78034139"/>
    <w:rsid w:val="782C7B34"/>
    <w:rsid w:val="78445FA5"/>
    <w:rsid w:val="784D7AAA"/>
    <w:rsid w:val="78551CF5"/>
    <w:rsid w:val="785E1CB7"/>
    <w:rsid w:val="787F7530"/>
    <w:rsid w:val="788A485A"/>
    <w:rsid w:val="788D77FD"/>
    <w:rsid w:val="78F626F0"/>
    <w:rsid w:val="78F9378E"/>
    <w:rsid w:val="79183CF7"/>
    <w:rsid w:val="795409C4"/>
    <w:rsid w:val="79690371"/>
    <w:rsid w:val="796B5F6C"/>
    <w:rsid w:val="79C618C2"/>
    <w:rsid w:val="79D36350"/>
    <w:rsid w:val="79E902C7"/>
    <w:rsid w:val="7A25365F"/>
    <w:rsid w:val="7A330BE3"/>
    <w:rsid w:val="7A5D747E"/>
    <w:rsid w:val="7A650EE2"/>
    <w:rsid w:val="7A861051"/>
    <w:rsid w:val="7A886B78"/>
    <w:rsid w:val="7AA03EC1"/>
    <w:rsid w:val="7AA53BCD"/>
    <w:rsid w:val="7AC1208A"/>
    <w:rsid w:val="7AD262B9"/>
    <w:rsid w:val="7B073F40"/>
    <w:rsid w:val="7B5FCC6A"/>
    <w:rsid w:val="7B8739B8"/>
    <w:rsid w:val="7BA76130"/>
    <w:rsid w:val="7BDF214B"/>
    <w:rsid w:val="7BED2F6D"/>
    <w:rsid w:val="7C6F2B32"/>
    <w:rsid w:val="7CF44998"/>
    <w:rsid w:val="7D3E730D"/>
    <w:rsid w:val="7D511DEB"/>
    <w:rsid w:val="7D586CD5"/>
    <w:rsid w:val="7D5E2DD2"/>
    <w:rsid w:val="7D7934EC"/>
    <w:rsid w:val="7DC35DEC"/>
    <w:rsid w:val="7DE62533"/>
    <w:rsid w:val="7DED5311"/>
    <w:rsid w:val="7E4E2D56"/>
    <w:rsid w:val="7E590F11"/>
    <w:rsid w:val="7E72113A"/>
    <w:rsid w:val="7EDC636B"/>
    <w:rsid w:val="7EF10E29"/>
    <w:rsid w:val="7EF944E8"/>
    <w:rsid w:val="7F86217F"/>
    <w:rsid w:val="7F945082"/>
    <w:rsid w:val="7FBBD460"/>
    <w:rsid w:val="7FDB3BED"/>
    <w:rsid w:val="7FDF36DE"/>
    <w:rsid w:val="7FE13C63"/>
    <w:rsid w:val="B397DF92"/>
    <w:rsid w:val="B7B8B9C1"/>
    <w:rsid w:val="B7DE1548"/>
    <w:rsid w:val="B7F54E70"/>
    <w:rsid w:val="BBB91F34"/>
    <w:rsid w:val="BBE79AC7"/>
    <w:rsid w:val="CDFD5A74"/>
    <w:rsid w:val="CF7F8630"/>
    <w:rsid w:val="D7F73588"/>
    <w:rsid w:val="DF77B73D"/>
    <w:rsid w:val="E74DDB32"/>
    <w:rsid w:val="E7BFB5CC"/>
    <w:rsid w:val="E9E9E440"/>
    <w:rsid w:val="ECF7656E"/>
    <w:rsid w:val="EDBE1861"/>
    <w:rsid w:val="F2EAD378"/>
    <w:rsid w:val="F3F0BB5C"/>
    <w:rsid w:val="F5BE7277"/>
    <w:rsid w:val="F5FEE9FB"/>
    <w:rsid w:val="F7DF4E7F"/>
    <w:rsid w:val="F7F5C2DD"/>
    <w:rsid w:val="F7F89F95"/>
    <w:rsid w:val="FBEB24B0"/>
    <w:rsid w:val="FEFF9F0B"/>
    <w:rsid w:val="FF4B9A0C"/>
    <w:rsid w:val="FF7E4B05"/>
    <w:rsid w:val="FF7FC524"/>
    <w:rsid w:val="FFAF9795"/>
    <w:rsid w:val="FFFD4179"/>
    <w:rsid w:val="FFFFC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99" w:semiHidden="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99"/>
    <w:pPr>
      <w:keepNext/>
      <w:keepLines/>
      <w:spacing w:before="260" w:after="260"/>
      <w:jc w:val="center"/>
      <w:outlineLvl w:val="1"/>
    </w:pPr>
    <w:rPr>
      <w:rFonts w:eastAsia="华文中宋" w:cs="Times New Roman"/>
      <w:b/>
      <w:bCs/>
      <w:szCs w:val="4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4"/>
    <w:qFormat/>
    <w:uiPriority w:val="99"/>
    <w:rPr>
      <w:rFonts w:ascii="仿宋_GB2312" w:eastAsia="仿宋_GB2312"/>
      <w:sz w:val="30"/>
    </w:rPr>
  </w:style>
  <w:style w:type="paragraph" w:customStyle="1" w:styleId="4">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table of authorities"/>
    <w:basedOn w:val="1"/>
    <w:next w:val="1"/>
    <w:qFormat/>
    <w:uiPriority w:val="0"/>
    <w:pPr>
      <w:ind w:left="420" w:leftChars="200"/>
    </w:pPr>
  </w:style>
  <w:style w:type="paragraph" w:styleId="8">
    <w:name w:val="Normal Indent"/>
    <w:basedOn w:val="1"/>
    <w:qFormat/>
    <w:uiPriority w:val="0"/>
    <w:pPr>
      <w:ind w:firstLine="420"/>
    </w:pPr>
    <w:rPr>
      <w:szCs w:val="21"/>
    </w:rPr>
  </w:style>
  <w:style w:type="paragraph" w:styleId="9">
    <w:name w:val="annotation text"/>
    <w:basedOn w:val="1"/>
    <w:semiHidden/>
    <w:unhideWhenUsed/>
    <w:qFormat/>
    <w:uiPriority w:val="99"/>
    <w:pPr>
      <w:jc w:val="left"/>
    </w:pPr>
  </w:style>
  <w:style w:type="paragraph" w:styleId="10">
    <w:name w:val="Body Text Indent"/>
    <w:basedOn w:val="1"/>
    <w:unhideWhenUsed/>
    <w:qFormat/>
    <w:uiPriority w:val="99"/>
    <w:pPr>
      <w:spacing w:after="120"/>
      <w:ind w:left="420" w:leftChars="200"/>
    </w:pPr>
  </w:style>
  <w:style w:type="paragraph" w:styleId="11">
    <w:name w:val="Plain Text"/>
    <w:basedOn w:val="1"/>
    <w:unhideWhenUsed/>
    <w:qFormat/>
    <w:uiPriority w:val="99"/>
    <w:rPr>
      <w:rFonts w:ascii="宋体" w:hAnsi="Courier New" w:eastAsia="宋体" w:cs="Courier New"/>
      <w:szCs w:val="21"/>
    </w:rPr>
  </w:style>
  <w:style w:type="paragraph" w:styleId="12">
    <w:name w:val="Body Text Indent 2"/>
    <w:basedOn w:val="1"/>
    <w:qFormat/>
    <w:uiPriority w:val="0"/>
    <w:pPr>
      <w:spacing w:after="120" w:line="480" w:lineRule="auto"/>
      <w:ind w:left="420" w:leftChars="200"/>
    </w:pPr>
    <w:rPr>
      <w:szCs w:val="21"/>
    </w:rPr>
  </w:style>
  <w:style w:type="paragraph" w:styleId="13">
    <w:name w:val="Balloon Text"/>
    <w:basedOn w:val="1"/>
    <w:link w:val="44"/>
    <w:semiHidden/>
    <w:unhideWhenUsed/>
    <w:qFormat/>
    <w:uiPriority w:val="99"/>
    <w:rPr>
      <w:sz w:val="18"/>
      <w:szCs w:val="18"/>
    </w:rPr>
  </w:style>
  <w:style w:type="paragraph" w:styleId="14">
    <w:name w:val="footer"/>
    <w:basedOn w:val="1"/>
    <w:next w:val="1"/>
    <w:link w:val="47"/>
    <w:unhideWhenUsed/>
    <w:qFormat/>
    <w:uiPriority w:val="99"/>
    <w:pPr>
      <w:tabs>
        <w:tab w:val="center" w:pos="4153"/>
        <w:tab w:val="right" w:pos="8306"/>
      </w:tabs>
      <w:snapToGrid w:val="0"/>
      <w:jc w:val="left"/>
    </w:pPr>
    <w:rPr>
      <w:sz w:val="18"/>
    </w:rPr>
  </w:style>
  <w:style w:type="paragraph" w:styleId="1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unhideWhenUsed/>
    <w:qFormat/>
    <w:uiPriority w:val="39"/>
  </w:style>
  <w:style w:type="paragraph" w:styleId="17">
    <w:name w:val="index 9"/>
    <w:basedOn w:val="1"/>
    <w:next w:val="1"/>
    <w:qFormat/>
    <w:uiPriority w:val="99"/>
    <w:pPr>
      <w:ind w:left="1600" w:leftChars="1600"/>
    </w:pPr>
  </w:style>
  <w:style w:type="paragraph" w:styleId="18">
    <w:name w:val="toc 2"/>
    <w:basedOn w:val="1"/>
    <w:next w:val="1"/>
    <w:unhideWhenUsed/>
    <w:qFormat/>
    <w:uiPriority w:val="39"/>
    <w:pPr>
      <w:ind w:left="420" w:leftChars="200"/>
    </w:p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styleId="21">
    <w:name w:val="Body Text First Indent 2"/>
    <w:basedOn w:val="10"/>
    <w:next w:val="1"/>
    <w:unhideWhenUsed/>
    <w:qFormat/>
    <w:uiPriority w:val="99"/>
    <w:pPr>
      <w:widowControl/>
      <w:wordWrap w:val="0"/>
      <w:ind w:firstLine="420" w:firstLineChars="200"/>
    </w:pPr>
    <w:rPr>
      <w:kern w:val="0"/>
      <w:sz w:val="20"/>
      <w:szCs w:val="20"/>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paragraph" w:customStyle="1" w:styleId="26">
    <w:name w:val="无间隔1"/>
    <w:qFormat/>
    <w:uiPriority w:val="0"/>
    <w:rPr>
      <w:rFonts w:ascii="Times New Roman" w:hAnsi="Times New Roman" w:eastAsia="宋体" w:cs="Times New Roman"/>
      <w:sz w:val="22"/>
      <w:szCs w:val="22"/>
      <w:lang w:val="en-US" w:eastAsia="zh-CN" w:bidi="ar-SA"/>
    </w:rPr>
  </w:style>
  <w:style w:type="paragraph" w:styleId="27">
    <w:name w:val="List Paragraph"/>
    <w:basedOn w:val="1"/>
    <w:qFormat/>
    <w:uiPriority w:val="34"/>
    <w:pPr>
      <w:ind w:firstLine="420" w:firstLineChars="200"/>
    </w:pPr>
  </w:style>
  <w:style w:type="paragraph" w:customStyle="1" w:styleId="28">
    <w:name w:val="表格"/>
    <w:basedOn w:val="1"/>
    <w:qFormat/>
    <w:uiPriority w:val="0"/>
    <w:pPr>
      <w:autoSpaceDN w:val="0"/>
      <w:jc w:val="center"/>
    </w:pPr>
    <w:rPr>
      <w:rFonts w:ascii="Verdana" w:hAnsi="Verdana" w:eastAsia="仿宋_GB2312" w:cs="Times New Roman"/>
      <w:bCs/>
      <w:sz w:val="24"/>
      <w:szCs w:val="21"/>
      <w:lang w:eastAsia="en-US"/>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1">
    <w:name w:val="font11"/>
    <w:basedOn w:val="24"/>
    <w:qFormat/>
    <w:uiPriority w:val="0"/>
    <w:rPr>
      <w:rFonts w:ascii="仿宋" w:hAnsi="仿宋" w:eastAsia="仿宋" w:cs="仿宋"/>
      <w:color w:val="000000"/>
      <w:sz w:val="24"/>
      <w:szCs w:val="24"/>
      <w:u w:val="none"/>
    </w:rPr>
  </w:style>
  <w:style w:type="paragraph" w:customStyle="1" w:styleId="32">
    <w:name w:val="二级"/>
    <w:basedOn w:val="1"/>
    <w:qFormat/>
    <w:uiPriority w:val="0"/>
    <w:pPr>
      <w:autoSpaceDN w:val="0"/>
      <w:spacing w:line="400" w:lineRule="exact"/>
      <w:outlineLvl w:val="2"/>
    </w:pPr>
    <w:rPr>
      <w:rFonts w:ascii="宋体" w:hAnsi="宋体"/>
      <w:b/>
      <w:bCs/>
      <w:sz w:val="28"/>
      <w:szCs w:val="28"/>
      <w:lang w:eastAsia="en-US"/>
    </w:rPr>
  </w:style>
  <w:style w:type="paragraph" w:customStyle="1" w:styleId="3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4">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bjh-p"/>
    <w:basedOn w:val="24"/>
    <w:qFormat/>
    <w:uiPriority w:val="0"/>
  </w:style>
  <w:style w:type="paragraph" w:customStyle="1" w:styleId="36">
    <w:name w:val="标题3"/>
    <w:basedOn w:val="1"/>
    <w:next w:val="1"/>
    <w:qFormat/>
    <w:uiPriority w:val="0"/>
    <w:pPr>
      <w:snapToGrid w:val="0"/>
      <w:spacing w:line="360" w:lineRule="auto"/>
      <w:ind w:firstLine="200" w:firstLineChars="200"/>
      <w:outlineLvl w:val="2"/>
    </w:pPr>
    <w:rPr>
      <w:rFonts w:ascii="仿宋_GB2312" w:hAnsi="华文宋体" w:eastAsia="仿宋_GB2312"/>
      <w:sz w:val="32"/>
      <w:szCs w:val="32"/>
    </w:rPr>
  </w:style>
  <w:style w:type="character" w:customStyle="1" w:styleId="37">
    <w:name w:val="font41"/>
    <w:basedOn w:val="24"/>
    <w:qFormat/>
    <w:uiPriority w:val="0"/>
    <w:rPr>
      <w:rFonts w:hint="eastAsia" w:ascii="宋体" w:hAnsi="宋体" w:eastAsia="宋体" w:cs="宋体"/>
      <w:color w:val="000000"/>
      <w:sz w:val="20"/>
      <w:szCs w:val="20"/>
      <w:u w:val="none"/>
    </w:rPr>
  </w:style>
  <w:style w:type="character" w:customStyle="1" w:styleId="38">
    <w:name w:val="font01"/>
    <w:basedOn w:val="24"/>
    <w:qFormat/>
    <w:uiPriority w:val="0"/>
    <w:rPr>
      <w:rFonts w:hint="eastAsia" w:ascii="宋体" w:hAnsi="宋体" w:eastAsia="宋体" w:cs="宋体"/>
      <w:color w:val="000000"/>
      <w:sz w:val="20"/>
      <w:szCs w:val="20"/>
      <w:u w:val="none"/>
    </w:rPr>
  </w:style>
  <w:style w:type="character" w:customStyle="1" w:styleId="39">
    <w:name w:val="fontstyle01"/>
    <w:basedOn w:val="24"/>
    <w:qFormat/>
    <w:uiPriority w:val="0"/>
    <w:rPr>
      <w:rFonts w:ascii="仿宋_GB2312" w:hAnsi="仿宋_GB2312" w:eastAsia="仿宋_GB2312" w:cs="仿宋_GB2312"/>
      <w:color w:val="000000"/>
      <w:sz w:val="32"/>
      <w:szCs w:val="32"/>
    </w:rPr>
  </w:style>
  <w:style w:type="character" w:customStyle="1" w:styleId="40">
    <w:name w:val="font71"/>
    <w:basedOn w:val="24"/>
    <w:qFormat/>
    <w:uiPriority w:val="0"/>
    <w:rPr>
      <w:rFonts w:hint="eastAsia" w:ascii="宋体" w:hAnsi="宋体" w:eastAsia="宋体" w:cs="宋体"/>
      <w:b/>
      <w:bCs/>
      <w:color w:val="000000"/>
      <w:sz w:val="20"/>
      <w:szCs w:val="20"/>
      <w:u w:val="none"/>
    </w:rPr>
  </w:style>
  <w:style w:type="character" w:customStyle="1" w:styleId="41">
    <w:name w:val="font61"/>
    <w:basedOn w:val="24"/>
    <w:qFormat/>
    <w:uiPriority w:val="0"/>
    <w:rPr>
      <w:rFonts w:hint="eastAsia" w:ascii="宋体" w:hAnsi="宋体" w:eastAsia="宋体" w:cs="宋体"/>
      <w:color w:val="000000"/>
      <w:sz w:val="18"/>
      <w:szCs w:val="18"/>
      <w:u w:val="none"/>
    </w:rPr>
  </w:style>
  <w:style w:type="character" w:customStyle="1" w:styleId="42">
    <w:name w:val="font21"/>
    <w:basedOn w:val="24"/>
    <w:qFormat/>
    <w:uiPriority w:val="0"/>
    <w:rPr>
      <w:rFonts w:ascii="等线" w:hAnsi="等线" w:eastAsia="等线" w:cs="等线"/>
      <w:color w:val="000000"/>
      <w:sz w:val="20"/>
      <w:szCs w:val="20"/>
      <w:u w:val="none"/>
    </w:rPr>
  </w:style>
  <w:style w:type="character" w:customStyle="1" w:styleId="43">
    <w:name w:val="font81"/>
    <w:basedOn w:val="24"/>
    <w:qFormat/>
    <w:uiPriority w:val="0"/>
    <w:rPr>
      <w:rFonts w:hint="eastAsia" w:ascii="等线" w:hAnsi="等线" w:eastAsia="等线" w:cs="等线"/>
      <w:color w:val="000000"/>
      <w:sz w:val="18"/>
      <w:szCs w:val="18"/>
      <w:u w:val="none"/>
    </w:rPr>
  </w:style>
  <w:style w:type="character" w:customStyle="1" w:styleId="44">
    <w:name w:val="批注框文本 字符"/>
    <w:basedOn w:val="24"/>
    <w:link w:val="13"/>
    <w:semiHidden/>
    <w:qFormat/>
    <w:uiPriority w:val="99"/>
    <w:rPr>
      <w:rFonts w:asciiTheme="minorHAnsi" w:hAnsiTheme="minorHAnsi" w:eastAsiaTheme="minorEastAsia" w:cstheme="minorBidi"/>
      <w:kern w:val="2"/>
      <w:sz w:val="18"/>
      <w:szCs w:val="18"/>
    </w:rPr>
  </w:style>
  <w:style w:type="character" w:customStyle="1" w:styleId="45">
    <w:name w:val="font51"/>
    <w:basedOn w:val="24"/>
    <w:qFormat/>
    <w:uiPriority w:val="0"/>
    <w:rPr>
      <w:rFonts w:hint="eastAsia" w:ascii="宋体" w:hAnsi="宋体" w:eastAsia="宋体" w:cs="宋体"/>
      <w:color w:val="000000"/>
      <w:sz w:val="18"/>
      <w:szCs w:val="18"/>
      <w:u w:val="none"/>
    </w:rPr>
  </w:style>
  <w:style w:type="character" w:customStyle="1" w:styleId="46">
    <w:name w:val="font31"/>
    <w:basedOn w:val="24"/>
    <w:qFormat/>
    <w:uiPriority w:val="0"/>
    <w:rPr>
      <w:rFonts w:hint="eastAsia" w:ascii="宋体" w:hAnsi="宋体" w:eastAsia="宋体" w:cs="宋体"/>
      <w:b/>
      <w:bCs/>
      <w:color w:val="000000"/>
      <w:sz w:val="18"/>
      <w:szCs w:val="18"/>
      <w:u w:val="none"/>
    </w:rPr>
  </w:style>
  <w:style w:type="character" w:customStyle="1" w:styleId="47">
    <w:name w:val="页脚 字符"/>
    <w:basedOn w:val="24"/>
    <w:link w:val="14"/>
    <w:qFormat/>
    <w:uiPriority w:val="99"/>
    <w:rPr>
      <w:rFonts w:asciiTheme="minorHAnsi" w:hAnsiTheme="minorHAnsi" w:eastAsiaTheme="minorEastAsia" w:cstheme="minorBidi"/>
      <w:kern w:val="2"/>
      <w:sz w:val="18"/>
      <w:szCs w:val="22"/>
    </w:rPr>
  </w:style>
  <w:style w:type="character" w:customStyle="1" w:styleId="48">
    <w:name w:val="NormalCharacter"/>
    <w:semiHidden/>
    <w:qFormat/>
    <w:uiPriority w:val="0"/>
  </w:style>
  <w:style w:type="paragraph" w:customStyle="1" w:styleId="49">
    <w:name w:val="报告正文"/>
    <w:basedOn w:val="1"/>
    <w:qFormat/>
    <w:uiPriority w:val="0"/>
    <w:pPr>
      <w:adjustRightInd w:val="0"/>
      <w:snapToGrid w:val="0"/>
      <w:spacing w:line="400" w:lineRule="exact"/>
      <w:ind w:firstLine="560"/>
    </w:pPr>
    <w:rPr>
      <w:rFonts w:ascii="宋体" w:hAnsi="宋体"/>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2182</Words>
  <Characters>2302</Characters>
  <Lines>83</Lines>
  <Paragraphs>23</Paragraphs>
  <TotalTime>1</TotalTime>
  <ScaleCrop>false</ScaleCrop>
  <LinksUpToDate>false</LinksUpToDate>
  <CharactersWithSpaces>2363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2024-05-08T16:10:00Z</dcterms:created>
  <dc:creator>玥</dc:creator>
  <cp:lastModifiedBy>就那样</cp:lastModifiedBy>
  <cp:lastPrinted>2024-06-09T00:57:00Z</cp:lastPrinted>
  <dcterms:modified xsi:type="dcterms:W3CDTF">2025-03-13T07:42:29Z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1CFB31CDA1FE40E789B18CD32DC212C9_13</vt:lpwstr>
  </property>
  <property fmtid="{D5CDD505-2E9C-101B-9397-08002B2CF9AE}" pid="4" name="KSOTemplateDocerSaveRecord">
    <vt:lpwstr>eyJoZGlkIjoiNmJmNDY3N2M0ZmFkZGZjZTA4ZDUyMjkwMWRmNmE0NWMiLCJ1c2VySWQiOiI1MTI0NTYyNTIifQ==</vt:lpwstr>
  </property>
</Properties>
</file>